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pStyle w:val="3"/>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b/>
          <w:bCs w:val="0"/>
          <w:color w:val="000000"/>
          <w:kern w:val="0"/>
          <w:sz w:val="44"/>
          <w:szCs w:val="44"/>
        </w:rPr>
      </w:pPr>
      <w:r>
        <w:rPr>
          <w:rFonts w:hint="eastAsia" w:ascii="方正小标宋_GBK" w:hAnsi="方正小标宋_GBK" w:eastAsia="方正小标宋_GBK" w:cs="方正小标宋_GBK"/>
          <w:b/>
          <w:bCs w:val="0"/>
          <w:color w:val="000000"/>
          <w:kern w:val="0"/>
          <w:sz w:val="44"/>
          <w:szCs w:val="44"/>
        </w:rPr>
        <w:t>重庆市农业投资集团有限公司</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b/>
          <w:bCs w:val="0"/>
          <w:color w:val="000000"/>
          <w:kern w:val="0"/>
          <w:sz w:val="44"/>
          <w:szCs w:val="44"/>
          <w:lang w:eastAsia="zh-CN"/>
        </w:rPr>
      </w:pPr>
      <w:r>
        <w:rPr>
          <w:rFonts w:hint="eastAsia" w:ascii="方正小标宋_GBK" w:hAnsi="方正小标宋_GBK" w:eastAsia="方正小标宋_GBK" w:cs="方正小标宋_GBK"/>
          <w:b/>
          <w:bCs w:val="0"/>
          <w:color w:val="000000"/>
          <w:kern w:val="0"/>
          <w:sz w:val="44"/>
          <w:szCs w:val="44"/>
        </w:rPr>
        <w:t>数智化管控系统项目(一期)</w:t>
      </w:r>
      <w:r>
        <w:rPr>
          <w:rFonts w:hint="eastAsia" w:ascii="方正小标宋_GBK" w:hAnsi="方正小标宋_GBK" w:eastAsia="方正小标宋_GBK" w:cs="方正小标宋_GBK"/>
          <w:b/>
          <w:bCs w:val="0"/>
          <w:color w:val="000000"/>
          <w:kern w:val="0"/>
          <w:sz w:val="44"/>
          <w:szCs w:val="44"/>
          <w:lang w:eastAsia="zh-CN"/>
        </w:rPr>
        <w:t>结算审计及</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b/>
          <w:bCs w:val="0"/>
          <w:color w:val="000000"/>
          <w:kern w:val="0"/>
          <w:sz w:val="44"/>
          <w:szCs w:val="44"/>
          <w:lang w:eastAsia="zh-CN"/>
        </w:rPr>
      </w:pPr>
      <w:bookmarkStart w:id="0" w:name="OLE_LINK1"/>
      <w:r>
        <w:rPr>
          <w:rFonts w:hint="eastAsia" w:ascii="方正小标宋_GBK" w:hAnsi="方正小标宋_GBK" w:eastAsia="方正小标宋_GBK" w:cs="方正小标宋_GBK"/>
          <w:b/>
          <w:bCs w:val="0"/>
          <w:color w:val="000000"/>
          <w:kern w:val="0"/>
          <w:sz w:val="44"/>
          <w:szCs w:val="44"/>
          <w:lang w:eastAsia="zh-CN"/>
        </w:rPr>
        <w:t>相关功能核价核量服务</w:t>
      </w:r>
      <w:bookmarkEnd w:id="0"/>
    </w:p>
    <w:p>
      <w:pPr>
        <w:rPr>
          <w:rFonts w:hint="eastAsia"/>
          <w:highlight w:val="yellow"/>
        </w:rPr>
      </w:pPr>
    </w:p>
    <w:p>
      <w:pPr>
        <w:ind w:firstLine="4080" w:firstLineChars="1700"/>
        <w:rPr>
          <w:rFonts w:hint="eastAsia"/>
          <w:highlight w:val="yellow"/>
        </w:rPr>
      </w:pPr>
    </w:p>
    <w:p>
      <w:pPr>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rPr>
          <w:rFonts w:hint="eastAsia"/>
        </w:rPr>
      </w:pPr>
    </w:p>
    <w:p>
      <w:pPr>
        <w:spacing w:line="360" w:lineRule="auto"/>
        <w:jc w:val="center"/>
        <w:rPr>
          <w:rFonts w:hint="eastAsia" w:ascii="方正小标宋_GBK" w:hAnsi="方正小标宋_GBK" w:eastAsia="方正小标宋_GBK" w:cs="方正小标宋_GBK"/>
          <w:b/>
          <w:spacing w:val="60"/>
          <w:sz w:val="52"/>
          <w:szCs w:val="52"/>
        </w:rPr>
      </w:pPr>
      <w:r>
        <w:rPr>
          <w:rFonts w:hint="eastAsia" w:ascii="方正小标宋_GBK" w:hAnsi="方正小标宋_GBK" w:eastAsia="方正小标宋_GBK" w:cs="方正小标宋_GBK"/>
          <w:b/>
          <w:spacing w:val="60"/>
          <w:sz w:val="52"/>
          <w:szCs w:val="52"/>
        </w:rPr>
        <w:t>比选文件</w:t>
      </w:r>
    </w:p>
    <w:p>
      <w:pPr>
        <w:rPr>
          <w:rFonts w:hint="eastAsia"/>
        </w:rPr>
      </w:pPr>
    </w:p>
    <w:p>
      <w:pPr>
        <w:rPr>
          <w:rFonts w:hint="eastAsia"/>
        </w:rPr>
      </w:pPr>
    </w:p>
    <w:p>
      <w:pPr>
        <w:rPr>
          <w:rFonts w:hint="eastAsia"/>
        </w:rPr>
      </w:pPr>
    </w:p>
    <w:p>
      <w:pPr>
        <w:rPr>
          <w:rFonts w:hint="eastAsia"/>
        </w:rPr>
      </w:pPr>
    </w:p>
    <w:p>
      <w:pPr>
        <w:pStyle w:val="3"/>
        <w:rPr>
          <w:rFonts w:hint="eastAsia"/>
        </w:rPr>
      </w:pPr>
    </w:p>
    <w:p>
      <w:pPr>
        <w:pStyle w:val="3"/>
        <w:rPr>
          <w:rFonts w:hint="eastAsia"/>
        </w:rPr>
      </w:pPr>
    </w:p>
    <w:p>
      <w:pPr>
        <w:rPr>
          <w:rFonts w:hint="eastAsia"/>
        </w:rPr>
      </w:pPr>
    </w:p>
    <w:p>
      <w:pPr>
        <w:spacing w:line="480" w:lineRule="auto"/>
        <w:jc w:val="center"/>
        <w:rPr>
          <w:rFonts w:hint="eastAsia" w:ascii="方正仿宋_GBK" w:hAnsi="方正仿宋_GBK" w:eastAsia="方正仿宋_GBK" w:cs="方正仿宋_GBK"/>
          <w:b/>
          <w:kern w:val="0"/>
          <w:sz w:val="36"/>
          <w:szCs w:val="36"/>
          <w:u w:val="single"/>
        </w:rPr>
      </w:pPr>
      <w:r>
        <w:rPr>
          <w:rFonts w:hint="eastAsia" w:ascii="方正仿宋_GBK" w:hAnsi="方正仿宋_GBK" w:eastAsia="方正仿宋_GBK" w:cs="方正仿宋_GBK"/>
          <w:b/>
          <w:spacing w:val="8"/>
          <w:kern w:val="0"/>
          <w:sz w:val="36"/>
          <w:szCs w:val="36"/>
        </w:rPr>
        <w:t>重庆市农业投资集团有限公司</w:t>
      </w:r>
    </w:p>
    <w:p>
      <w:pPr>
        <w:autoSpaceDE w:val="0"/>
        <w:autoSpaceDN w:val="0"/>
        <w:adjustRightInd w:val="0"/>
        <w:snapToGrid w:val="0"/>
        <w:spacing w:line="360" w:lineRule="auto"/>
        <w:jc w:val="center"/>
        <w:rPr>
          <w:rFonts w:hint="eastAsia" w:ascii="宋体" w:hAnsi="宋体"/>
          <w:sz w:val="24"/>
          <w:szCs w:val="24"/>
        </w:rPr>
      </w:pPr>
      <w:r>
        <w:rPr>
          <w:rFonts w:hint="default" w:ascii="Times New Roman" w:hAnsi="Times New Roman" w:eastAsia="方正仿宋_GBK" w:cs="Times New Roman"/>
          <w:b w:val="0"/>
          <w:bCs/>
          <w:sz w:val="36"/>
          <w:szCs w:val="36"/>
        </w:rPr>
        <w:t>202</w:t>
      </w:r>
      <w:r>
        <w:rPr>
          <w:rFonts w:hint="default" w:ascii="Times New Roman" w:hAnsi="Times New Roman" w:eastAsia="方正仿宋_GBK" w:cs="Times New Roman"/>
          <w:b w:val="0"/>
          <w:bCs/>
          <w:sz w:val="36"/>
          <w:szCs w:val="36"/>
          <w:lang w:val="en-US" w:eastAsia="zh-CN"/>
        </w:rPr>
        <w:t>5</w:t>
      </w:r>
      <w:r>
        <w:rPr>
          <w:rFonts w:hint="default" w:ascii="Times New Roman" w:hAnsi="Times New Roman" w:eastAsia="方正仿宋_GBK" w:cs="Times New Roman"/>
          <w:b w:val="0"/>
          <w:bCs/>
          <w:sz w:val="36"/>
          <w:szCs w:val="36"/>
        </w:rPr>
        <w:t>年</w:t>
      </w:r>
      <w:r>
        <w:rPr>
          <w:rFonts w:hint="default" w:ascii="Times New Roman" w:hAnsi="Times New Roman" w:eastAsia="方正仿宋_GBK" w:cs="Times New Roman"/>
          <w:b w:val="0"/>
          <w:bCs/>
          <w:sz w:val="36"/>
          <w:szCs w:val="36"/>
          <w:lang w:val="en-US" w:eastAsia="zh-CN"/>
        </w:rPr>
        <w:t>08</w:t>
      </w:r>
      <w:r>
        <w:rPr>
          <w:rFonts w:hint="default" w:ascii="Times New Roman" w:hAnsi="Times New Roman" w:eastAsia="方正仿宋_GBK" w:cs="Times New Roman"/>
          <w:b w:val="0"/>
          <w:bCs/>
          <w:sz w:val="36"/>
          <w:szCs w:val="36"/>
        </w:rPr>
        <w:t>月</w:t>
      </w:r>
      <w:r>
        <w:rPr>
          <w:rFonts w:hint="default" w:ascii="Times New Roman" w:hAnsi="Times New Roman" w:eastAsia="方正仿宋_GBK" w:cs="Times New Roman"/>
          <w:b w:val="0"/>
          <w:bCs/>
          <w:sz w:val="36"/>
          <w:szCs w:val="36"/>
          <w:lang w:val="en-US" w:eastAsia="zh-CN"/>
        </w:rPr>
        <w:t>2</w:t>
      </w:r>
      <w:r>
        <w:rPr>
          <w:rFonts w:hint="eastAsia" w:ascii="Times New Roman" w:hAnsi="Times New Roman" w:eastAsia="方正仿宋_GBK" w:cs="Times New Roman"/>
          <w:b w:val="0"/>
          <w:bCs/>
          <w:sz w:val="36"/>
          <w:szCs w:val="36"/>
          <w:lang w:val="en-US" w:eastAsia="zh-CN"/>
        </w:rPr>
        <w:t>6</w:t>
      </w:r>
      <w:r>
        <w:rPr>
          <w:rFonts w:hint="default" w:ascii="Times New Roman" w:hAnsi="Times New Roman" w:eastAsia="方正仿宋_GBK" w:cs="Times New Roman"/>
          <w:b w:val="0"/>
          <w:bCs/>
          <w:sz w:val="36"/>
          <w:szCs w:val="36"/>
        </w:rPr>
        <w:t>日</w:t>
      </w:r>
    </w:p>
    <w:p>
      <w:pPr>
        <w:rPr>
          <w:rFonts w:hint="eastAsia"/>
        </w:rPr>
        <w:sectPr>
          <w:headerReference r:id="rId3" w:type="default"/>
          <w:footerReference r:id="rId4" w:type="default"/>
          <w:pgSz w:w="11907" w:h="16840"/>
          <w:pgMar w:top="1984" w:right="1446" w:bottom="1644" w:left="1446" w:header="964" w:footer="992" w:gutter="283"/>
          <w:pgNumType w:fmt="decimal"/>
          <w:cols w:space="720" w:num="1"/>
          <w:rtlGutter w:val="0"/>
          <w:docGrid w:linePitch="380" w:charSpace="0"/>
        </w:sectPr>
      </w:pPr>
    </w:p>
    <w:p>
      <w:pPr>
        <w:pStyle w:val="2"/>
        <w:numPr>
          <w:ilvl w:val="0"/>
          <w:numId w:val="14"/>
        </w:numPr>
        <w:jc w:val="center"/>
        <w:rPr>
          <w:rFonts w:hint="eastAsia" w:ascii="方正小标宋_GBK" w:hAnsi="方正小标宋_GBK" w:eastAsia="方正小标宋_GBK" w:cs="方正小标宋_GBK"/>
          <w:b/>
          <w:bCs w:val="0"/>
          <w:color w:val="000000"/>
          <w:kern w:val="0"/>
          <w:sz w:val="44"/>
          <w:szCs w:val="44"/>
          <w:lang w:val="en-US" w:eastAsia="zh-CN" w:bidi="ar-SA"/>
        </w:rPr>
      </w:pPr>
      <w:r>
        <w:rPr>
          <w:rFonts w:hint="eastAsia" w:ascii="方正小标宋_GBK" w:hAnsi="方正小标宋_GBK" w:eastAsia="方正小标宋_GBK" w:cs="方正小标宋_GBK"/>
          <w:b/>
          <w:bCs w:val="0"/>
          <w:color w:val="000000"/>
          <w:kern w:val="0"/>
          <w:sz w:val="44"/>
          <w:szCs w:val="44"/>
          <w:lang w:val="en-US" w:eastAsia="zh-CN" w:bidi="ar-SA"/>
        </w:rPr>
        <w:t>比选公告</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b/>
          <w:bCs/>
          <w:kern w:val="0"/>
          <w:sz w:val="40"/>
          <w:szCs w:val="40"/>
        </w:rPr>
      </w:pPr>
    </w:p>
    <w:p>
      <w:pPr>
        <w:keepNext w:val="0"/>
        <w:keepLines w:val="0"/>
        <w:pageBreakBefore w:val="0"/>
        <w:widowControl w:val="0"/>
        <w:wordWrap/>
        <w:topLinePunct w:val="0"/>
        <w:bidi w:val="0"/>
        <w:snapToGrid w:val="0"/>
        <w:spacing w:line="600" w:lineRule="exact"/>
        <w:ind w:firstLine="640" w:firstLineChars="200"/>
        <w:textAlignment w:val="auto"/>
        <w:rPr>
          <w:rFonts w:hint="eastAsia"/>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val="en-US" w:eastAsia="zh-CN"/>
        </w:rPr>
        <w:t>项目背景</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重庆市农业投资集团有限公司（以下简称“集团”或采购人）</w:t>
      </w:r>
      <w:r>
        <w:rPr>
          <w:rFonts w:hint="eastAsia" w:ascii="方正仿宋_GBK" w:hAnsi="方正仿宋_GBK" w:eastAsia="方正仿宋_GBK" w:cs="方正仿宋_GBK"/>
          <w:sz w:val="32"/>
          <w:szCs w:val="32"/>
          <w:highlight w:val="none"/>
        </w:rPr>
        <w:t>拟采购</w:t>
      </w:r>
      <w:r>
        <w:rPr>
          <w:rFonts w:hint="eastAsia" w:ascii="方正仿宋_GBK" w:hAnsi="方正仿宋_GBK" w:eastAsia="方正仿宋_GBK" w:cs="方正仿宋_GBK"/>
          <w:sz w:val="32"/>
          <w:szCs w:val="32"/>
        </w:rPr>
        <w:t>集团</w:t>
      </w:r>
      <w:r>
        <w:rPr>
          <w:rFonts w:hint="eastAsia" w:ascii="方正仿宋_GBK" w:hAnsi="方正仿宋_GBK" w:eastAsia="方正仿宋_GBK" w:cs="方正仿宋_GBK"/>
          <w:sz w:val="32"/>
          <w:szCs w:val="32"/>
          <w:highlight w:val="none"/>
        </w:rPr>
        <w:t>数智化管控系统项目</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一期</w:t>
      </w:r>
      <w:r>
        <w:rPr>
          <w:rFonts w:hint="eastAsia" w:ascii="方正仿宋_GBK" w:hAnsi="方正仿宋_GBK" w:eastAsia="方正仿宋_GBK" w:cs="方正仿宋_GBK"/>
          <w:sz w:val="32"/>
          <w:szCs w:val="32"/>
          <w:highlight w:val="none"/>
          <w:lang w:eastAsia="zh-CN"/>
        </w:rPr>
        <w:t>）结算审计及相关功能核价核量</w:t>
      </w:r>
      <w:r>
        <w:rPr>
          <w:rFonts w:hint="eastAsia" w:ascii="方正仿宋_GBK" w:hAnsi="方正仿宋_GBK" w:eastAsia="方正仿宋_GBK" w:cs="方正仿宋_GBK"/>
          <w:sz w:val="32"/>
          <w:szCs w:val="32"/>
          <w:highlight w:val="none"/>
        </w:rPr>
        <w:t>服务。</w:t>
      </w:r>
      <w:r>
        <w:rPr>
          <w:rFonts w:hint="eastAsia" w:ascii="方正仿宋_GBK" w:hAnsi="方正仿宋_GBK" w:eastAsia="方正仿宋_GBK" w:cs="方正仿宋_GBK"/>
          <w:sz w:val="32"/>
          <w:szCs w:val="32"/>
        </w:rPr>
        <w:t>为体现公开、公平、公正、竞争、择优的原则，特向社会以公开</w:t>
      </w:r>
      <w:r>
        <w:rPr>
          <w:rFonts w:hint="eastAsia" w:ascii="方正仿宋_GBK" w:hAnsi="方正仿宋_GBK" w:eastAsia="方正仿宋_GBK" w:cs="方正仿宋_GBK"/>
          <w:sz w:val="32"/>
          <w:szCs w:val="32"/>
          <w:lang w:eastAsia="zh-CN"/>
        </w:rPr>
        <w:t>竞争性</w:t>
      </w:r>
      <w:r>
        <w:rPr>
          <w:rFonts w:hint="eastAsia" w:ascii="方正仿宋_GBK" w:hAnsi="方正仿宋_GBK" w:eastAsia="方正仿宋_GBK" w:cs="方正仿宋_GBK"/>
          <w:sz w:val="32"/>
          <w:szCs w:val="32"/>
        </w:rPr>
        <w:t>比选方式选聘信息系统审计服务机构。现将有关事宜公告如下：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szCs w:val="32"/>
          <w:lang w:val="en-US" w:eastAsia="zh-CN"/>
        </w:rPr>
      </w:pPr>
      <w:bookmarkStart w:id="1" w:name="_Toc313893526"/>
      <w:bookmarkEnd w:id="1"/>
      <w:bookmarkStart w:id="2" w:name="_Toc22851"/>
      <w:bookmarkEnd w:id="2"/>
      <w:bookmarkStart w:id="3" w:name="_Toc317775175"/>
      <w:bookmarkEnd w:id="3"/>
      <w:bookmarkStart w:id="4" w:name="_Toc4969"/>
      <w:bookmarkEnd w:id="4"/>
      <w:bookmarkStart w:id="5" w:name="_Toc25106"/>
      <w:bookmarkEnd w:id="5"/>
      <w:bookmarkStart w:id="6" w:name="_Toc7730"/>
      <w:r>
        <w:rPr>
          <w:rFonts w:hint="eastAsia" w:ascii="方正黑体_GBK" w:hAnsi="方正黑体_GBK" w:eastAsia="方正黑体_GBK" w:cs="方正黑体_GBK"/>
          <w:sz w:val="32"/>
          <w:szCs w:val="32"/>
          <w:lang w:val="en-US" w:eastAsia="zh-CN"/>
        </w:rPr>
        <w:t>二、比选内容</w:t>
      </w:r>
      <w:bookmarkEnd w:id="6"/>
    </w:p>
    <w:tbl>
      <w:tblPr>
        <w:tblStyle w:val="63"/>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3895"/>
        <w:gridCol w:w="1500"/>
        <w:gridCol w:w="1980"/>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60" w:type="dxa"/>
            <w:tcBorders>
              <w:top w:val="single" w:color="auto" w:sz="4" w:space="0"/>
              <w:left w:val="single" w:color="auto" w:sz="4" w:space="0"/>
              <w:right w:val="single" w:color="auto" w:sz="4" w:space="0"/>
            </w:tcBorders>
            <w:noWrap w:val="0"/>
            <w:vAlign w:val="center"/>
          </w:tcPr>
          <w:p>
            <w:pPr>
              <w:jc w:val="center"/>
              <w:rPr>
                <w:rFonts w:hint="eastAsia" w:ascii="方正楷体_GBK" w:hAnsi="方正楷体_GBK" w:eastAsia="方正楷体_GBK" w:cs="方正楷体_GBK"/>
                <w:b/>
                <w:sz w:val="28"/>
                <w:szCs w:val="28"/>
              </w:rPr>
            </w:pPr>
            <w:bookmarkStart w:id="7" w:name="OLE_LINK2"/>
            <w:r>
              <w:rPr>
                <w:rFonts w:hint="eastAsia" w:ascii="方正楷体_GBK" w:hAnsi="方正楷体_GBK" w:eastAsia="方正楷体_GBK" w:cs="方正楷体_GBK"/>
                <w:b/>
                <w:sz w:val="28"/>
                <w:szCs w:val="28"/>
              </w:rPr>
              <w:t>序号</w:t>
            </w:r>
          </w:p>
        </w:tc>
        <w:tc>
          <w:tcPr>
            <w:tcW w:w="3895" w:type="dxa"/>
            <w:tcBorders>
              <w:top w:val="single" w:color="auto" w:sz="4" w:space="0"/>
              <w:left w:val="single" w:color="auto" w:sz="4" w:space="0"/>
              <w:right w:val="single" w:color="auto" w:sz="4" w:space="0"/>
            </w:tcBorders>
            <w:noWrap w:val="0"/>
            <w:vAlign w:val="center"/>
          </w:tcPr>
          <w:p>
            <w:pPr>
              <w:jc w:val="center"/>
              <w:rPr>
                <w:rFonts w:hint="eastAsia" w:ascii="方正楷体_GBK" w:hAnsi="方正楷体_GBK" w:eastAsia="方正楷体_GBK" w:cs="方正楷体_GBK"/>
                <w:b/>
                <w:sz w:val="28"/>
                <w:szCs w:val="28"/>
              </w:rPr>
            </w:pPr>
            <w:r>
              <w:rPr>
                <w:rFonts w:hint="eastAsia" w:ascii="方正楷体_GBK" w:hAnsi="方正楷体_GBK" w:eastAsia="方正楷体_GBK" w:cs="方正楷体_GBK"/>
                <w:b/>
                <w:sz w:val="28"/>
                <w:szCs w:val="28"/>
              </w:rPr>
              <w:t>名称</w:t>
            </w:r>
          </w:p>
        </w:tc>
        <w:tc>
          <w:tcPr>
            <w:tcW w:w="1500" w:type="dxa"/>
            <w:tcBorders>
              <w:top w:val="single" w:color="auto" w:sz="4" w:space="0"/>
              <w:left w:val="single" w:color="auto" w:sz="4" w:space="0"/>
              <w:right w:val="single" w:color="auto" w:sz="4" w:space="0"/>
            </w:tcBorders>
            <w:noWrap w:val="0"/>
            <w:vAlign w:val="center"/>
          </w:tcPr>
          <w:p>
            <w:pPr>
              <w:jc w:val="center"/>
              <w:rPr>
                <w:rFonts w:hint="eastAsia" w:ascii="方正楷体_GBK" w:hAnsi="方正楷体_GBK" w:eastAsia="方正楷体_GBK" w:cs="方正楷体_GBK"/>
                <w:b/>
                <w:sz w:val="28"/>
                <w:szCs w:val="28"/>
              </w:rPr>
            </w:pPr>
            <w:r>
              <w:rPr>
                <w:rFonts w:hint="eastAsia" w:ascii="方正楷体_GBK" w:hAnsi="方正楷体_GBK" w:eastAsia="方正楷体_GBK" w:cs="方正楷体_GBK"/>
                <w:b/>
                <w:sz w:val="28"/>
                <w:szCs w:val="28"/>
              </w:rPr>
              <w:t>最高限价（万元）</w:t>
            </w:r>
          </w:p>
        </w:tc>
        <w:tc>
          <w:tcPr>
            <w:tcW w:w="1980" w:type="dxa"/>
            <w:tcBorders>
              <w:top w:val="single" w:color="auto" w:sz="4" w:space="0"/>
              <w:left w:val="single" w:color="auto" w:sz="4" w:space="0"/>
              <w:right w:val="single" w:color="auto" w:sz="4" w:space="0"/>
            </w:tcBorders>
            <w:noWrap w:val="0"/>
            <w:vAlign w:val="center"/>
          </w:tcPr>
          <w:p>
            <w:pPr>
              <w:jc w:val="center"/>
              <w:rPr>
                <w:rFonts w:hint="eastAsia" w:ascii="方正楷体_GBK" w:hAnsi="方正楷体_GBK" w:eastAsia="方正楷体_GBK" w:cs="方正楷体_GBK"/>
                <w:b/>
                <w:sz w:val="28"/>
                <w:szCs w:val="28"/>
              </w:rPr>
            </w:pPr>
            <w:r>
              <w:rPr>
                <w:rFonts w:hint="eastAsia" w:ascii="方正楷体_GBK" w:hAnsi="方正楷体_GBK" w:eastAsia="方正楷体_GBK" w:cs="方正楷体_GBK"/>
                <w:b/>
                <w:sz w:val="28"/>
                <w:szCs w:val="28"/>
              </w:rPr>
              <w:t>成交供应商数量（名）</w:t>
            </w:r>
          </w:p>
        </w:tc>
        <w:tc>
          <w:tcPr>
            <w:tcW w:w="871" w:type="dxa"/>
            <w:tcBorders>
              <w:top w:val="single" w:color="auto" w:sz="4" w:space="0"/>
              <w:left w:val="single" w:color="auto" w:sz="4" w:space="0"/>
              <w:right w:val="single" w:color="auto" w:sz="4" w:space="0"/>
            </w:tcBorders>
            <w:noWrap w:val="0"/>
            <w:vAlign w:val="center"/>
          </w:tcPr>
          <w:p>
            <w:pPr>
              <w:jc w:val="center"/>
              <w:rPr>
                <w:rFonts w:hint="eastAsia" w:ascii="方正楷体_GBK" w:hAnsi="方正楷体_GBK" w:eastAsia="方正楷体_GBK" w:cs="方正楷体_GBK"/>
                <w:b/>
                <w:sz w:val="28"/>
                <w:szCs w:val="28"/>
              </w:rPr>
            </w:pPr>
            <w:r>
              <w:rPr>
                <w:rFonts w:hint="eastAsia" w:ascii="方正楷体_GBK" w:hAnsi="方正楷体_GBK" w:eastAsia="方正楷体_GBK" w:cs="方正楷体_GBK"/>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kinsoku w:val="0"/>
              <w:autoSpaceDE w:val="0"/>
              <w:autoSpaceDN w:val="0"/>
              <w:adjustRightInd w:val="0"/>
              <w:snapToGrid w:val="0"/>
              <w:jc w:val="center"/>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w:t>
            </w:r>
          </w:p>
        </w:tc>
        <w:tc>
          <w:tcPr>
            <w:tcW w:w="3895" w:type="dxa"/>
            <w:tcBorders>
              <w:top w:val="single" w:color="auto" w:sz="4" w:space="0"/>
              <w:left w:val="single" w:color="auto" w:sz="4" w:space="0"/>
              <w:bottom w:val="single" w:color="auto" w:sz="4" w:space="0"/>
              <w:right w:val="single" w:color="auto" w:sz="4" w:space="0"/>
            </w:tcBorders>
            <w:noWrap w:val="0"/>
            <w:vAlign w:val="center"/>
          </w:tcPr>
          <w:p>
            <w:pPr>
              <w:kinsoku w:val="0"/>
              <w:autoSpaceDE w:val="0"/>
              <w:autoSpaceDN w:val="0"/>
              <w:adjustRightInd w:val="0"/>
              <w:snapToGrid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重庆市农业投资集团有限公司数智化管控系统项目(一期)结算审计</w:t>
            </w:r>
            <w:r>
              <w:rPr>
                <w:rFonts w:hint="eastAsia" w:ascii="方正仿宋_GBK" w:hAnsi="方正仿宋_GBK" w:eastAsia="方正仿宋_GBK" w:cs="方正仿宋_GBK"/>
                <w:sz w:val="28"/>
                <w:szCs w:val="28"/>
                <w:lang w:val="en-US" w:eastAsia="zh-CN"/>
              </w:rPr>
              <w:t>及相关功能核价核量服务</w:t>
            </w:r>
          </w:p>
        </w:tc>
        <w:tc>
          <w:tcPr>
            <w:tcW w:w="1500" w:type="dxa"/>
            <w:tcBorders>
              <w:top w:val="single" w:color="auto" w:sz="4" w:space="0"/>
              <w:left w:val="single" w:color="auto" w:sz="4" w:space="0"/>
              <w:right w:val="single" w:color="auto" w:sz="4" w:space="0"/>
            </w:tcBorders>
            <w:noWrap w:val="0"/>
            <w:vAlign w:val="center"/>
          </w:tcPr>
          <w:p>
            <w:pPr>
              <w:kinsoku w:val="0"/>
              <w:autoSpaceDE w:val="0"/>
              <w:autoSpaceDN w:val="0"/>
              <w:adjustRightInd w:val="0"/>
              <w:snapToGrid w:val="0"/>
              <w:jc w:val="center"/>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lang w:val="en-US" w:eastAsia="zh-CN"/>
              </w:rPr>
              <w:t>00</w:t>
            </w:r>
          </w:p>
        </w:tc>
        <w:tc>
          <w:tcPr>
            <w:tcW w:w="1980" w:type="dxa"/>
            <w:tcBorders>
              <w:top w:val="single" w:color="auto" w:sz="4" w:space="0"/>
              <w:left w:val="single" w:color="auto" w:sz="4" w:space="0"/>
              <w:right w:val="single" w:color="auto" w:sz="4" w:space="0"/>
            </w:tcBorders>
            <w:noWrap w:val="0"/>
            <w:vAlign w:val="center"/>
          </w:tcPr>
          <w:p>
            <w:pPr>
              <w:kinsoku w:val="0"/>
              <w:autoSpaceDE w:val="0"/>
              <w:autoSpaceDN w:val="0"/>
              <w:adjustRightInd w:val="0"/>
              <w:snapToGrid w:val="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871" w:type="dxa"/>
            <w:tcBorders>
              <w:top w:val="single" w:color="auto" w:sz="4" w:space="0"/>
              <w:left w:val="single" w:color="auto" w:sz="4" w:space="0"/>
              <w:right w:val="single" w:color="auto" w:sz="4" w:space="0"/>
            </w:tcBorders>
            <w:noWrap w:val="0"/>
            <w:vAlign w:val="center"/>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r>
      <w:bookmarkEnd w:id="7"/>
    </w:tbl>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szCs w:val="32"/>
          <w:lang w:val="en-US" w:eastAsia="zh-CN"/>
        </w:rPr>
      </w:pPr>
      <w:bookmarkStart w:id="8" w:name="_Toc28115"/>
      <w:bookmarkEnd w:id="8"/>
      <w:bookmarkStart w:id="9" w:name="_Toc5970"/>
      <w:bookmarkEnd w:id="9"/>
      <w:bookmarkStart w:id="10" w:name="_Toc29836"/>
      <w:bookmarkEnd w:id="10"/>
      <w:bookmarkStart w:id="11" w:name="_Toc7502"/>
      <w:bookmarkEnd w:id="11"/>
      <w:bookmarkStart w:id="12" w:name="_Toc29885"/>
      <w:bookmarkEnd w:id="12"/>
      <w:bookmarkStart w:id="13" w:name="_Toc15957"/>
      <w:bookmarkEnd w:id="13"/>
      <w:bookmarkStart w:id="14" w:name="_Toc25764"/>
      <w:r>
        <w:rPr>
          <w:rFonts w:hint="eastAsia" w:ascii="方正黑体_GBK" w:hAnsi="方正黑体_GBK" w:eastAsia="方正黑体_GBK" w:cs="方正黑体_GBK"/>
          <w:sz w:val="32"/>
          <w:szCs w:val="32"/>
          <w:lang w:val="en-US" w:eastAsia="zh-CN"/>
        </w:rPr>
        <w:t>三、供应商资格条件</w:t>
      </w:r>
      <w:bookmarkEnd w:id="14"/>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highlight w:val="cyan"/>
        </w:rPr>
      </w:pPr>
      <w:r>
        <w:rPr>
          <w:rFonts w:hint="eastAsia" w:ascii="方正仿宋_GBK" w:hAnsi="方正仿宋_GBK" w:eastAsia="方正仿宋_GBK" w:cs="方正仿宋_GBK"/>
          <w:b w:val="0"/>
          <w:bCs w:val="0"/>
          <w:sz w:val="32"/>
          <w:szCs w:val="32"/>
        </w:rPr>
        <w:t>（一）</w:t>
      </w:r>
      <w:r>
        <w:rPr>
          <w:rFonts w:hint="eastAsia" w:ascii="方正仿宋_GBK" w:hAnsi="方正仿宋_GBK" w:eastAsia="方正仿宋_GBK" w:cs="方正仿宋_GBK"/>
          <w:sz w:val="32"/>
          <w:szCs w:val="32"/>
          <w:highlight w:val="none"/>
        </w:rPr>
        <w:t>具有</w:t>
      </w:r>
      <w:r>
        <w:rPr>
          <w:rFonts w:hint="default" w:ascii="方正仿宋_GBK" w:hAnsi="方正仿宋_GBK" w:eastAsia="方正仿宋_GBK" w:cs="方正仿宋_GBK"/>
          <w:sz w:val="32"/>
          <w:szCs w:val="32"/>
          <w:highlight w:val="none"/>
        </w:rPr>
        <w:t>独立法人资格</w:t>
      </w:r>
      <w:r>
        <w:rPr>
          <w:rFonts w:hint="eastAsia" w:ascii="方正仿宋_GBK" w:hAnsi="方正仿宋_GBK" w:eastAsia="方正仿宋_GBK" w:cs="方正仿宋_GBK"/>
          <w:sz w:val="32"/>
          <w:szCs w:val="32"/>
          <w:highlight w:val="none"/>
          <w:lang w:eastAsia="zh-CN"/>
        </w:rPr>
        <w:t>，</w:t>
      </w:r>
      <w:r>
        <w:rPr>
          <w:rFonts w:hint="default" w:ascii="方正仿宋_GBK" w:hAnsi="方正仿宋_GBK" w:eastAsia="方正仿宋_GBK" w:cs="方正仿宋_GBK"/>
          <w:sz w:val="32"/>
          <w:szCs w:val="32"/>
          <w:highlight w:val="none"/>
        </w:rPr>
        <w:t>且其营业执照经营范围包含“工程</w:t>
      </w:r>
      <w:r>
        <w:rPr>
          <w:rFonts w:hint="eastAsia" w:ascii="方正仿宋_GBK" w:hAnsi="方正仿宋_GBK" w:eastAsia="方正仿宋_GBK" w:cs="方正仿宋_GBK"/>
          <w:sz w:val="32"/>
          <w:szCs w:val="32"/>
          <w:highlight w:val="none"/>
          <w:lang w:eastAsia="zh-CN"/>
        </w:rPr>
        <w:t>核价</w:t>
      </w:r>
      <w:r>
        <w:rPr>
          <w:rFonts w:hint="default" w:ascii="方正仿宋_GBK" w:hAnsi="方正仿宋_GBK" w:eastAsia="方正仿宋_GBK" w:cs="方正仿宋_GBK"/>
          <w:sz w:val="32"/>
          <w:szCs w:val="32"/>
          <w:highlight w:val="none"/>
        </w:rPr>
        <w:t>咨询”或“信息技术咨询服务”或“审计服务”等相关内容</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二</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sz w:val="32"/>
          <w:szCs w:val="32"/>
        </w:rPr>
        <w:t>具有良好的商业信誉和健全的财务会计制度；</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三</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sz w:val="32"/>
          <w:szCs w:val="32"/>
        </w:rPr>
        <w:t>具有履行合同所必需的设备和专业技术能力；</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四</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sz w:val="32"/>
          <w:szCs w:val="32"/>
        </w:rPr>
        <w:t>有依法缴纳税收和社会保障资金的良好记录；</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五</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本次比选公告发布之日前</w:t>
      </w:r>
      <w:r>
        <w:rPr>
          <w:rFonts w:hint="eastAsia" w:ascii="方正仿宋_GBK" w:hAnsi="方正仿宋_GBK" w:eastAsia="方正仿宋_GBK" w:cs="方正仿宋_GBK"/>
          <w:sz w:val="32"/>
          <w:szCs w:val="32"/>
        </w:rPr>
        <w:t>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szCs w:val="32"/>
          <w:lang w:val="en-US" w:eastAsia="zh-CN"/>
        </w:rPr>
      </w:pPr>
      <w:bookmarkStart w:id="15" w:name="_Toc31720"/>
      <w:bookmarkEnd w:id="15"/>
      <w:bookmarkStart w:id="16" w:name="_Toc8268"/>
      <w:r>
        <w:rPr>
          <w:rFonts w:hint="eastAsia" w:ascii="方正黑体_GBK" w:hAnsi="方正黑体_GBK" w:eastAsia="方正黑体_GBK" w:cs="方正黑体_GBK"/>
          <w:sz w:val="32"/>
          <w:szCs w:val="32"/>
          <w:lang w:val="en-US" w:eastAsia="zh-CN"/>
        </w:rPr>
        <w:t>四、比选文件获取</w:t>
      </w:r>
      <w:bookmarkEnd w:id="16"/>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凡有意参加采购的投标人，请在重庆市农业投资集团有限公司官网（</w:t>
      </w:r>
      <w:r>
        <w:rPr>
          <w:rFonts w:hint="default" w:ascii="Times New Roman" w:hAnsi="Times New Roman" w:eastAsia="方正仿宋_GBK" w:cs="Times New Roman"/>
          <w:b w:val="0"/>
          <w:bCs w:val="0"/>
          <w:kern w:val="2"/>
          <w:sz w:val="32"/>
          <w:szCs w:val="32"/>
          <w:lang w:val="en-US" w:eastAsia="zh-CN" w:bidi="ar-SA"/>
        </w:rPr>
        <w:t>http://www.cqsnk.cn/</w:t>
      </w:r>
      <w:r>
        <w:rPr>
          <w:rFonts w:hint="eastAsia" w:ascii="方正仿宋_GBK" w:hAnsi="方正仿宋_GBK" w:eastAsia="方正仿宋_GBK" w:cs="方正仿宋_GBK"/>
          <w:b w:val="0"/>
          <w:bCs w:val="0"/>
          <w:kern w:val="2"/>
          <w:sz w:val="32"/>
          <w:szCs w:val="32"/>
          <w:lang w:val="en-US" w:eastAsia="zh-CN" w:bidi="ar-SA"/>
        </w:rPr>
        <w:t>）网上下载本项目采购文件以及变更等所有项目资料，无论投标人下载与否，均视为已知晓所有采购实质性要求内容。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szCs w:val="32"/>
          <w:lang w:val="en-US" w:eastAsia="zh-CN"/>
        </w:rPr>
      </w:pPr>
      <w:bookmarkStart w:id="17" w:name="_Toc30474"/>
      <w:r>
        <w:rPr>
          <w:rFonts w:hint="eastAsia" w:ascii="方正黑体_GBK" w:hAnsi="方正黑体_GBK" w:eastAsia="方正黑体_GBK" w:cs="方正黑体_GBK"/>
          <w:sz w:val="32"/>
          <w:szCs w:val="32"/>
          <w:lang w:val="en-US" w:eastAsia="zh-CN"/>
        </w:rPr>
        <w:t>五、比选文件递交</w:t>
      </w:r>
      <w:bookmarkEnd w:id="17"/>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zh-CN"/>
        </w:rPr>
        <w:t>（一）递交截止时间：</w:t>
      </w:r>
      <w:r>
        <w:rPr>
          <w:rFonts w:hint="default" w:ascii="Times New Roman" w:hAnsi="Times New Roman" w:eastAsia="方正仿宋_GBK" w:cs="Times New Roman"/>
          <w:sz w:val="32"/>
          <w:szCs w:val="32"/>
        </w:rPr>
        <w:t>2025</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en-US" w:eastAsia="zh-CN"/>
        </w:rPr>
        <w:t>上午</w:t>
      </w:r>
      <w:r>
        <w:rPr>
          <w:rFonts w:hint="eastAsia" w:ascii="方正仿宋_GBK" w:hAnsi="方正仿宋_GBK" w:eastAsia="方正仿宋_GBK" w:cs="方正仿宋_GBK"/>
          <w:sz w:val="32"/>
          <w:szCs w:val="32"/>
          <w:lang w:val="zh-CN"/>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zh-CN"/>
        </w:rPr>
        <w:t>点整（</w:t>
      </w:r>
      <w:r>
        <w:rPr>
          <w:rFonts w:hint="eastAsia" w:ascii="方正仿宋_GBK" w:hAnsi="方正仿宋_GBK" w:eastAsia="方正仿宋_GBK" w:cs="方正仿宋_GBK"/>
          <w:sz w:val="32"/>
          <w:szCs w:val="32"/>
        </w:rPr>
        <w:t>北京时间）。</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（二）递交地点：重庆市渝中区中山三路</w:t>
      </w:r>
      <w:r>
        <w:rPr>
          <w:rFonts w:hint="default" w:ascii="Times New Roman" w:hAnsi="Times New Roman" w:eastAsia="方正仿宋_GBK" w:cs="Times New Roman"/>
          <w:sz w:val="32"/>
          <w:szCs w:val="32"/>
          <w:lang w:val="zh-CN"/>
        </w:rPr>
        <w:t>121</w:t>
      </w:r>
      <w:r>
        <w:rPr>
          <w:rFonts w:hint="eastAsia" w:ascii="方正仿宋_GBK" w:hAnsi="方正仿宋_GBK" w:eastAsia="方正仿宋_GBK" w:cs="方正仿宋_GBK"/>
          <w:sz w:val="32"/>
          <w:szCs w:val="32"/>
          <w:lang w:val="zh-CN"/>
        </w:rPr>
        <w:t>号</w:t>
      </w:r>
      <w:r>
        <w:rPr>
          <w:rFonts w:hint="default" w:ascii="Times New Roman" w:hAnsi="Times New Roman" w:eastAsia="方正仿宋_GBK" w:cs="Times New Roman"/>
          <w:sz w:val="32"/>
          <w:szCs w:val="32"/>
        </w:rPr>
        <w:t>21</w:t>
      </w:r>
      <w:r>
        <w:rPr>
          <w:rFonts w:hint="eastAsia" w:ascii="方正仿宋_GBK" w:hAnsi="方正仿宋_GBK" w:eastAsia="方正仿宋_GBK" w:cs="方正仿宋_GBK"/>
          <w:sz w:val="32"/>
          <w:szCs w:val="32"/>
        </w:rPr>
        <w:t>楼</w:t>
      </w:r>
      <w:r>
        <w:rPr>
          <w:rFonts w:hint="eastAsia" w:ascii="Times New Roman" w:hAnsi="Times New Roman" w:eastAsia="方正仿宋_GBK" w:cs="Times New Roman"/>
          <w:sz w:val="32"/>
          <w:szCs w:val="32"/>
          <w:lang w:val="zh-CN"/>
        </w:rPr>
        <w:t>2107</w:t>
      </w:r>
      <w:r>
        <w:rPr>
          <w:rFonts w:hint="eastAsia" w:ascii="方正仿宋_GBK" w:hAnsi="方正仿宋_GBK" w:eastAsia="方正仿宋_GBK" w:cs="方正仿宋_GBK"/>
          <w:sz w:val="32"/>
          <w:szCs w:val="32"/>
          <w:lang w:val="zh-CN"/>
        </w:rPr>
        <w:t>室</w:t>
      </w:r>
      <w:r>
        <w:rPr>
          <w:rFonts w:hint="eastAsia" w:eastAsia="方正仿宋_GBK"/>
          <w:sz w:val="32"/>
          <w:szCs w:val="32"/>
        </w:rPr>
        <w:t>重庆市农业投资集团有限公司</w:t>
      </w:r>
      <w:r>
        <w:rPr>
          <w:rFonts w:hint="eastAsia" w:eastAsia="方正仿宋_GBK"/>
          <w:sz w:val="32"/>
          <w:szCs w:val="32"/>
          <w:lang w:val="en-US" w:eastAsia="zh-CN"/>
        </w:rPr>
        <w:t>科技创新部</w:t>
      </w:r>
      <w:r>
        <w:rPr>
          <w:rFonts w:eastAsia="方正仿宋_GBK"/>
          <w:sz w:val="32"/>
          <w:szCs w:val="32"/>
        </w:rPr>
        <w:t>（只接受直接送达）</w:t>
      </w:r>
      <w:r>
        <w:rPr>
          <w:rFonts w:hint="eastAsia" w:ascii="方正仿宋_GBK" w:hAnsi="方正仿宋_GBK" w:eastAsia="方正仿宋_GBK" w:cs="方正仿宋_GBK"/>
          <w:sz w:val="32"/>
          <w:szCs w:val="32"/>
          <w:lang w:val="zh-CN"/>
        </w:rPr>
        <w:t>。</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rPr>
        <w:t>三</w:t>
      </w:r>
      <w:r>
        <w:rPr>
          <w:rFonts w:hint="eastAsia" w:ascii="方正仿宋_GBK" w:hAnsi="方正仿宋_GBK" w:eastAsia="方正仿宋_GBK" w:cs="方正仿宋_GBK"/>
          <w:sz w:val="32"/>
          <w:szCs w:val="32"/>
          <w:lang w:val="zh-CN"/>
        </w:rPr>
        <w:t>）逾期送达的或者未送达指定地点的比选申请文件，比选人不予受理，不接受以电子邮件、传真及邮寄方式递交的比选申请文件。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szCs w:val="32"/>
          <w:lang w:val="en-US" w:eastAsia="zh-CN"/>
        </w:rPr>
      </w:pPr>
      <w:bookmarkStart w:id="18" w:name="_Toc29086"/>
      <w:r>
        <w:rPr>
          <w:rFonts w:hint="eastAsia" w:ascii="方正黑体_GBK" w:hAnsi="方正黑体_GBK" w:eastAsia="方正黑体_GBK" w:cs="方正黑体_GBK"/>
          <w:sz w:val="32"/>
          <w:szCs w:val="32"/>
          <w:lang w:val="en-US" w:eastAsia="zh-CN"/>
        </w:rPr>
        <w:t>六、联系方式</w:t>
      </w:r>
      <w:bookmarkEnd w:id="18"/>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联系人：严思琪</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联系电话：</w:t>
      </w:r>
      <w:r>
        <w:rPr>
          <w:rFonts w:hint="default" w:ascii="Times New Roman" w:hAnsi="Times New Roman" w:eastAsia="方正仿宋_GBK" w:cs="Times New Roman"/>
          <w:sz w:val="32"/>
          <w:szCs w:val="32"/>
          <w:lang w:val="zh-CN"/>
        </w:rPr>
        <w:t>023-63266696</w:t>
      </w:r>
    </w:p>
    <w:p>
      <w:pPr>
        <w:pStyle w:val="56"/>
        <w:spacing w:before="0" w:beforeAutospacing="0" w:after="0" w:afterAutospacing="0" w:line="500" w:lineRule="exact"/>
        <w:ind w:firstLine="560" w:firstLineChars="200"/>
        <w:rPr>
          <w:rFonts w:hint="eastAsia" w:ascii="仿宋" w:hAnsi="仿宋" w:eastAsia="仿宋" w:cs="仿宋"/>
          <w:color w:val="333333"/>
          <w:sz w:val="28"/>
          <w:szCs w:val="28"/>
          <w:shd w:val="clear" w:color="auto" w:fill="FFFFFF"/>
        </w:rPr>
      </w:pPr>
      <w:r>
        <w:rPr>
          <w:rFonts w:hint="eastAsia" w:ascii="仿宋_GB2312" w:hAnsi="Calibri" w:eastAsia="仿宋_GB2312"/>
          <w:kern w:val="2"/>
          <w:sz w:val="28"/>
          <w:szCs w:val="28"/>
        </w:rPr>
        <w:t xml:space="preserve"> </w:t>
      </w:r>
    </w:p>
    <w:p>
      <w:pPr>
        <w:kinsoku w:val="0"/>
        <w:overflowPunct w:val="0"/>
        <w:autoSpaceDE w:val="0"/>
        <w:autoSpaceDN w:val="0"/>
        <w:adjustRightInd w:val="0"/>
        <w:snapToGrid w:val="0"/>
        <w:spacing w:line="360" w:lineRule="auto"/>
        <w:rPr>
          <w:rFonts w:hint="eastAsia" w:hAnsi="宋体" w:cs="宋体"/>
          <w:kern w:val="0"/>
        </w:rPr>
        <w:sectPr>
          <w:footerReference r:id="rId5" w:type="default"/>
          <w:pgSz w:w="11907" w:h="16840"/>
          <w:pgMar w:top="1984" w:right="1446" w:bottom="1644" w:left="1446" w:header="964" w:footer="992" w:gutter="0"/>
          <w:pgNumType w:fmt="decimal" w:start="1"/>
          <w:cols w:space="720" w:num="1"/>
          <w:docGrid w:linePitch="312" w:charSpace="0"/>
        </w:sectPr>
      </w:pPr>
      <w:bookmarkStart w:id="19" w:name="_Toc10113"/>
      <w:bookmarkEnd w:id="19"/>
      <w:bookmarkStart w:id="20" w:name="_Toc23794"/>
      <w:bookmarkEnd w:id="20"/>
      <w:bookmarkStart w:id="21" w:name="_Toc6681"/>
      <w:bookmarkEnd w:id="21"/>
      <w:bookmarkStart w:id="22" w:name="_Toc20667"/>
      <w:bookmarkEnd w:id="22"/>
      <w:bookmarkStart w:id="23" w:name="_Toc22047738"/>
      <w:bookmarkEnd w:id="23"/>
      <w:bookmarkStart w:id="24" w:name="_Toc22989"/>
      <w:bookmarkEnd w:id="24"/>
      <w:bookmarkStart w:id="25" w:name="_Toc530144825"/>
      <w:bookmarkEnd w:id="25"/>
    </w:p>
    <w:p>
      <w:pPr>
        <w:pStyle w:val="2"/>
        <w:numPr>
          <w:ilvl w:val="0"/>
          <w:numId w:val="14"/>
        </w:numPr>
        <w:jc w:val="center"/>
        <w:rPr>
          <w:rFonts w:hint="eastAsia" w:ascii="方正小标宋_GBK" w:hAnsi="方正小标宋_GBK" w:eastAsia="方正小标宋_GBK" w:cs="方正小标宋_GBK"/>
          <w:b/>
          <w:bCs/>
          <w:kern w:val="0"/>
          <w:sz w:val="44"/>
          <w:szCs w:val="44"/>
        </w:rPr>
      </w:pPr>
      <w:bookmarkStart w:id="26" w:name="_Toc858"/>
      <w:r>
        <w:rPr>
          <w:rFonts w:hint="eastAsia" w:ascii="方正小标宋_GBK" w:hAnsi="方正小标宋_GBK" w:eastAsia="方正小标宋_GBK" w:cs="方正小标宋_GBK"/>
          <w:b/>
          <w:bCs/>
          <w:kern w:val="0"/>
          <w:sz w:val="44"/>
          <w:szCs w:val="44"/>
        </w:rPr>
        <w:t>比选须知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szCs w:val="32"/>
          <w:lang w:val="en-US" w:eastAsia="zh-CN"/>
        </w:rPr>
      </w:pPr>
      <w:bookmarkStart w:id="27" w:name="_Toc29099"/>
      <w:r>
        <w:rPr>
          <w:rFonts w:hint="eastAsia" w:ascii="方正黑体_GBK" w:hAnsi="方正黑体_GBK" w:eastAsia="方正黑体_GBK" w:cs="方正黑体_GBK"/>
          <w:sz w:val="32"/>
          <w:szCs w:val="32"/>
          <w:lang w:val="en-US" w:eastAsia="zh-CN"/>
        </w:rPr>
        <w:t>一、项目情况</w:t>
      </w:r>
      <w:bookmarkEnd w:id="27"/>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lang w:eastAsia="zh-CN"/>
        </w:rPr>
        <w:t>（一）</w:t>
      </w:r>
      <w:r>
        <w:rPr>
          <w:rFonts w:hint="eastAsia" w:ascii="方正楷体_GBK" w:hAnsi="方正楷体_GBK" w:eastAsia="方正楷体_GBK" w:cs="方正楷体_GBK"/>
          <w:b/>
          <w:bCs/>
          <w:sz w:val="32"/>
          <w:szCs w:val="32"/>
        </w:rPr>
        <w:t>项目名称：</w:t>
      </w:r>
      <w:r>
        <w:rPr>
          <w:rFonts w:hint="eastAsia" w:ascii="方正仿宋_GBK" w:hAnsi="方正仿宋_GBK" w:eastAsia="方正仿宋_GBK" w:cs="方正仿宋_GBK"/>
          <w:sz w:val="32"/>
          <w:szCs w:val="32"/>
        </w:rPr>
        <w:t>重庆市农业投资集团有限公司数智化管控系统项目(一期)结算审计及</w:t>
      </w:r>
      <w:r>
        <w:rPr>
          <w:rFonts w:hint="eastAsia" w:ascii="方正仿宋_GBK" w:hAnsi="方正仿宋_GBK" w:eastAsia="方正仿宋_GBK" w:cs="方正仿宋_GBK"/>
          <w:sz w:val="32"/>
          <w:szCs w:val="32"/>
          <w:highlight w:val="none"/>
          <w:lang w:eastAsia="zh-CN"/>
        </w:rPr>
        <w:t>相关功能核价</w:t>
      </w:r>
      <w:r>
        <w:rPr>
          <w:rFonts w:hint="eastAsia" w:ascii="方正仿宋_GBK" w:hAnsi="方正仿宋_GBK" w:eastAsia="方正仿宋_GBK" w:cs="方正仿宋_GBK"/>
          <w:sz w:val="32"/>
          <w:szCs w:val="32"/>
          <w:highlight w:val="none"/>
          <w:lang w:val="en-US" w:eastAsia="zh-CN"/>
        </w:rPr>
        <w:t>核量</w:t>
      </w:r>
      <w:r>
        <w:rPr>
          <w:rFonts w:hint="eastAsia" w:ascii="方正仿宋_GBK" w:hAnsi="方正仿宋_GBK" w:eastAsia="方正仿宋_GBK" w:cs="方正仿宋_GBK"/>
          <w:sz w:val="32"/>
          <w:szCs w:val="32"/>
        </w:rPr>
        <w:t>服务</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lang w:val="zh-CN"/>
        </w:rPr>
      </w:pPr>
      <w:r>
        <w:rPr>
          <w:rFonts w:hint="eastAsia" w:ascii="方正楷体_GBK" w:hAnsi="方正楷体_GBK" w:eastAsia="方正楷体_GBK" w:cs="方正楷体_GBK"/>
          <w:b/>
          <w:bCs/>
          <w:sz w:val="32"/>
          <w:szCs w:val="32"/>
          <w:lang w:eastAsia="zh-CN"/>
        </w:rPr>
        <w:t>（二）</w:t>
      </w:r>
      <w:r>
        <w:rPr>
          <w:rFonts w:hint="eastAsia" w:ascii="方正楷体_GBK" w:hAnsi="方正楷体_GBK" w:eastAsia="方正楷体_GBK" w:cs="方正楷体_GBK"/>
          <w:b/>
          <w:bCs/>
          <w:sz w:val="32"/>
          <w:szCs w:val="32"/>
        </w:rPr>
        <w:t>项目地点：</w:t>
      </w:r>
      <w:r>
        <w:rPr>
          <w:rFonts w:hint="eastAsia" w:ascii="方正仿宋_GBK" w:hAnsi="方正仿宋_GBK" w:eastAsia="方正仿宋_GBK" w:cs="方正仿宋_GBK"/>
          <w:sz w:val="32"/>
          <w:szCs w:val="32"/>
          <w:lang w:val="zh-CN"/>
        </w:rPr>
        <w:t>重庆市渝中区中山三路</w:t>
      </w:r>
      <w:r>
        <w:rPr>
          <w:rFonts w:hint="default" w:ascii="Times New Roman" w:hAnsi="Times New Roman" w:eastAsia="方正仿宋_GBK" w:cs="Times New Roman"/>
          <w:sz w:val="32"/>
          <w:szCs w:val="32"/>
          <w:lang w:val="zh-CN"/>
        </w:rPr>
        <w:t>121</w:t>
      </w:r>
      <w:r>
        <w:rPr>
          <w:rFonts w:hint="eastAsia" w:ascii="方正仿宋_GBK" w:hAnsi="方正仿宋_GBK" w:eastAsia="方正仿宋_GBK" w:cs="方正仿宋_GBK"/>
          <w:sz w:val="32"/>
          <w:szCs w:val="32"/>
          <w:lang w:val="zh-CN"/>
        </w:rPr>
        <w:t>号（</w:t>
      </w:r>
      <w:r>
        <w:rPr>
          <w:rFonts w:hint="eastAsia" w:ascii="方正仿宋_GBK" w:hAnsi="方正仿宋_GBK" w:eastAsia="方正仿宋_GBK" w:cs="方正仿宋_GBK"/>
          <w:sz w:val="32"/>
          <w:szCs w:val="32"/>
        </w:rPr>
        <w:t>业主指定</w:t>
      </w:r>
      <w:r>
        <w:rPr>
          <w:rFonts w:hint="eastAsia" w:ascii="方正仿宋_GBK" w:hAnsi="方正仿宋_GBK" w:eastAsia="方正仿宋_GBK" w:cs="方正仿宋_GBK"/>
          <w:sz w:val="32"/>
          <w:szCs w:val="32"/>
          <w:lang w:val="zh-CN"/>
        </w:rPr>
        <w:t>）</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lang w:eastAsia="zh-CN"/>
        </w:rPr>
        <w:t>（三）</w:t>
      </w:r>
      <w:r>
        <w:rPr>
          <w:rFonts w:hint="eastAsia" w:ascii="方正楷体_GBK" w:hAnsi="方正楷体_GBK" w:eastAsia="方正楷体_GBK" w:cs="方正楷体_GBK"/>
          <w:b/>
          <w:bCs/>
          <w:sz w:val="32"/>
          <w:szCs w:val="32"/>
        </w:rPr>
        <w:t>服务范围：</w:t>
      </w:r>
      <w:r>
        <w:rPr>
          <w:rFonts w:hint="eastAsia" w:ascii="方正仿宋_GBK" w:hAnsi="方正仿宋_GBK" w:eastAsia="方正仿宋_GBK" w:cs="方正仿宋_GBK"/>
          <w:sz w:val="32"/>
          <w:szCs w:val="32"/>
          <w:lang w:val="en-US" w:eastAsia="zh-CN"/>
        </w:rPr>
        <w:t>本项目服务范围以重庆市农业投资集团有限公司与浪潮通用软件有限公司签署的“数智化管控系统项目（一期）”原合同、补充协议及其他相关文件约定的范围为准。对项目进行全面的结算审计。同时，对项目执行期间新增功能进行核价，并对质保期内承建方免费提供的“不超过原合同工作量</w:t>
      </w:r>
      <w:r>
        <w:rPr>
          <w:rFonts w:hint="default"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lang w:val="en-US" w:eastAsia="zh-CN"/>
        </w:rPr>
        <w:t>的程序修改或升级服务”进行专业的工作量核定。</w:t>
      </w:r>
    </w:p>
    <w:p>
      <w:pPr>
        <w:pStyle w:val="3"/>
        <w:keepLines w:val="0"/>
        <w:pageBreakBefore w:val="0"/>
        <w:widowControl w:val="0"/>
        <w:wordWrap/>
        <w:topLinePunct w:val="0"/>
        <w:bidi w:val="0"/>
        <w:snapToGrid w:val="0"/>
        <w:spacing w:line="600"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lang w:eastAsia="zh-CN"/>
        </w:rPr>
        <w:t>（四）</w:t>
      </w:r>
      <w:r>
        <w:rPr>
          <w:rFonts w:hint="eastAsia" w:ascii="方正楷体_GBK" w:hAnsi="方正楷体_GBK" w:eastAsia="方正楷体_GBK" w:cs="方正楷体_GBK"/>
          <w:b/>
          <w:bCs/>
          <w:sz w:val="32"/>
          <w:szCs w:val="32"/>
          <w:lang w:val="en-US" w:eastAsia="zh-CN"/>
        </w:rPr>
        <w:t>审计及相关服务涉及合同金额</w:t>
      </w:r>
      <w:r>
        <w:rPr>
          <w:rFonts w:hint="eastAsia" w:ascii="方正楷体_GBK" w:hAnsi="方正楷体_GBK" w:eastAsia="方正楷体_GBK" w:cs="方正楷体_GBK"/>
          <w:b/>
          <w:bCs/>
          <w:sz w:val="32"/>
          <w:szCs w:val="32"/>
        </w:rPr>
        <w:t>：</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rPr>
      </w:pPr>
      <w:r>
        <w:rPr>
          <w:rFonts w:hint="eastAsia" w:ascii="方正仿宋_GBK" w:hAnsi="方正仿宋_GBK" w:eastAsia="方正仿宋_GBK" w:cs="方正仿宋_GBK"/>
          <w:sz w:val="32"/>
          <w:szCs w:val="32"/>
          <w:lang w:val="en-US" w:eastAsia="zh-CN"/>
        </w:rPr>
        <w:t>本次审计及相关服务涉及合同金额包括但不限于：</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b w:val="0"/>
          <w:bCs w:val="0"/>
          <w:sz w:val="32"/>
          <w:szCs w:val="32"/>
          <w:lang w:val="en-US" w:eastAsia="zh-CN"/>
        </w:rPr>
        <w:t>1.</w:t>
      </w:r>
      <w:r>
        <w:rPr>
          <w:rFonts w:hint="eastAsia" w:ascii="方正仿宋_GBK" w:hAnsi="方正仿宋_GBK" w:eastAsia="方正仿宋_GBK" w:cs="方正仿宋_GBK"/>
          <w:sz w:val="32"/>
          <w:szCs w:val="32"/>
        </w:rPr>
        <w:t>“数智化管控系统项目（一期）”合同签订价</w:t>
      </w:r>
      <w:r>
        <w:rPr>
          <w:rFonts w:hint="default" w:ascii="Times New Roman" w:hAnsi="Times New Roman" w:eastAsia="方正仿宋_GBK" w:cs="Times New Roman"/>
          <w:sz w:val="32"/>
          <w:szCs w:val="32"/>
        </w:rPr>
        <w:t>1196</w:t>
      </w:r>
      <w:r>
        <w:rPr>
          <w:rFonts w:hint="eastAsia" w:ascii="Times New Roman" w:hAnsi="Times New Roman" w:eastAsia="方正仿宋_GBK" w:cs="Times New Roman"/>
          <w:sz w:val="32"/>
          <w:szCs w:val="32"/>
          <w:lang w:val="en-US" w:eastAsia="zh-CN"/>
        </w:rPr>
        <w:t>万</w:t>
      </w:r>
      <w:r>
        <w:rPr>
          <w:rFonts w:hint="eastAsia" w:ascii="方正仿宋_GBK" w:hAnsi="方正仿宋_GBK" w:eastAsia="方正仿宋_GBK" w:cs="方正仿宋_GBK"/>
          <w:sz w:val="32"/>
          <w:szCs w:val="32"/>
        </w:rPr>
        <w:t>元。</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eastAsia="宋体"/>
          <w:lang w:val="en-US" w:eastAsia="zh-CN"/>
        </w:rPr>
      </w:pPr>
      <w:r>
        <w:rPr>
          <w:rFonts w:hint="eastAsia" w:ascii="Times New Roman" w:hAnsi="Times New Roman" w:eastAsia="方正仿宋_GBK" w:cs="Times New Roman"/>
          <w:b w:val="0"/>
          <w:bCs w:val="0"/>
          <w:sz w:val="32"/>
          <w:szCs w:val="32"/>
          <w:lang w:val="en-US" w:eastAsia="zh-CN"/>
        </w:rPr>
        <w:t>2.</w:t>
      </w:r>
      <w:r>
        <w:rPr>
          <w:rFonts w:hint="default" w:ascii="方正仿宋_GBK" w:hAnsi="方正仿宋_GBK" w:eastAsia="方正仿宋_GBK" w:cs="方正仿宋_GBK"/>
          <w:sz w:val="32"/>
          <w:szCs w:val="32"/>
          <w:lang w:val="en-US" w:eastAsia="zh-CN"/>
        </w:rPr>
        <w:t>以补充协议约定的“以原合同总金额的</w:t>
      </w:r>
      <w:r>
        <w:rPr>
          <w:rFonts w:hint="default" w:ascii="Times New Roman" w:hAnsi="Times New Roman" w:eastAsia="方正仿宋_GBK" w:cs="Times New Roman"/>
          <w:sz w:val="32"/>
          <w:szCs w:val="32"/>
          <w:lang w:val="en-US" w:eastAsia="zh-CN"/>
        </w:rPr>
        <w:t>10%</w:t>
      </w:r>
      <w:r>
        <w:rPr>
          <w:rFonts w:hint="default" w:ascii="方正仿宋_GBK" w:hAnsi="方正仿宋_GBK" w:eastAsia="方正仿宋_GBK" w:cs="方正仿宋_GBK"/>
          <w:sz w:val="32"/>
          <w:szCs w:val="32"/>
          <w:lang w:val="en-US" w:eastAsia="zh-CN"/>
        </w:rPr>
        <w:t>为“新增功能”</w:t>
      </w:r>
      <w:r>
        <w:rPr>
          <w:rFonts w:hint="eastAsia" w:ascii="方正仿宋_GBK" w:hAnsi="方正仿宋_GBK" w:eastAsia="方正仿宋_GBK" w:cs="方正仿宋_GBK"/>
          <w:sz w:val="32"/>
          <w:szCs w:val="32"/>
          <w:lang w:val="en-US" w:eastAsia="zh-CN"/>
        </w:rPr>
        <w:t>价款上限，以“数智化管控系统项目（一期）”项目双方书面确认为准。</w:t>
      </w:r>
    </w:p>
    <w:bookmarkEnd w:id="26"/>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szCs w:val="32"/>
          <w:lang w:val="en-US" w:eastAsia="zh-CN"/>
        </w:rPr>
      </w:pPr>
      <w:bookmarkStart w:id="28" w:name="_Toc28053"/>
      <w:bookmarkStart w:id="29" w:name="_Toc76462329"/>
      <w:bookmarkStart w:id="30" w:name="_Toc7580"/>
      <w:r>
        <w:rPr>
          <w:rFonts w:hint="eastAsia" w:ascii="方正黑体_GBK" w:hAnsi="方正黑体_GBK" w:eastAsia="方正黑体_GBK" w:cs="方正黑体_GBK"/>
          <w:sz w:val="32"/>
          <w:szCs w:val="32"/>
          <w:lang w:val="en-US" w:eastAsia="zh-CN"/>
        </w:rPr>
        <w:t>二、报价要求</w:t>
      </w:r>
      <w:bookmarkEnd w:id="28"/>
      <w:bookmarkEnd w:id="29"/>
      <w:bookmarkEnd w:id="30"/>
    </w:p>
    <w:p>
      <w:pPr>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本项目报价为包干价，最高限价为</w:t>
      </w:r>
      <w:r>
        <w:rPr>
          <w:rFonts w:hint="eastAsia" w:ascii="Times New Roman" w:hAnsi="Times New Roman" w:eastAsia="方正仿宋_GBK" w:cs="Times New Roman"/>
          <w:sz w:val="32"/>
          <w:szCs w:val="32"/>
          <w:highlight w:val="none"/>
          <w:lang w:val="en-US" w:eastAsia="zh-CN"/>
        </w:rPr>
        <w:t>8</w:t>
      </w:r>
      <w:r>
        <w:rPr>
          <w:rFonts w:hint="eastAsia" w:ascii="方正仿宋_GBK" w:hAnsi="方正仿宋_GBK" w:eastAsia="方正仿宋_GBK" w:cs="方正仿宋_GBK"/>
          <w:sz w:val="32"/>
          <w:szCs w:val="32"/>
        </w:rPr>
        <w:t>万元，包括不限于完成本项目所需的服务费、人工费、材料费、提供服务所需的工具使用费、各种应纳的税费、采购代理费等完成本项目的所有费用。因成交供应商自身原因造成漏报、少报皆由其自行承担责任，采购人不再补偿。</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szCs w:val="32"/>
          <w:lang w:val="en-US" w:eastAsia="zh-CN"/>
        </w:rPr>
      </w:pPr>
      <w:bookmarkStart w:id="31" w:name="_Toc25394"/>
      <w:r>
        <w:rPr>
          <w:rFonts w:hint="eastAsia" w:ascii="方正黑体_GBK" w:hAnsi="方正黑体_GBK" w:eastAsia="方正黑体_GBK" w:cs="方正黑体_GBK"/>
          <w:sz w:val="32"/>
          <w:szCs w:val="32"/>
          <w:lang w:val="en-US" w:eastAsia="zh-CN"/>
        </w:rPr>
        <w:t>三、服务内容及要求</w:t>
      </w:r>
      <w:bookmarkEnd w:id="31"/>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楷体_GBK" w:hAnsi="方正楷体_GBK" w:eastAsia="方正楷体_GBK" w:cs="方正楷体_GBK"/>
          <w:b/>
          <w:bCs/>
          <w:sz w:val="32"/>
          <w:szCs w:val="32"/>
        </w:rPr>
      </w:pPr>
      <w:bookmarkStart w:id="32" w:name="_Hlk203402883"/>
      <w:r>
        <w:rPr>
          <w:rFonts w:hint="eastAsia" w:ascii="方正楷体_GBK" w:hAnsi="方正楷体_GBK" w:eastAsia="方正楷体_GBK" w:cs="方正楷体_GBK"/>
          <w:b/>
          <w:bCs/>
          <w:sz w:val="32"/>
          <w:szCs w:val="32"/>
        </w:rPr>
        <w:t>（一）服务内容：</w:t>
      </w:r>
    </w:p>
    <w:bookmarkEnd w:id="32"/>
    <w:p>
      <w:pPr>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rtl w:val="0"/>
          <w:lang w:val="en-US" w:eastAsia="zh-CN"/>
        </w:rPr>
        <w:t>主要工作内容包括但不限于以下方面：</w:t>
      </w:r>
    </w:p>
    <w:p>
      <w:pPr>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方正仿宋_GBK" w:hAnsi="方正仿宋_GBK" w:eastAsia="方正仿宋_GBK" w:cs="方正仿宋_GBK"/>
          <w:b/>
          <w:bCs/>
          <w:sz w:val="32"/>
          <w:szCs w:val="32"/>
          <w:lang w:val="en-US" w:eastAsia="zh-CN"/>
        </w:rPr>
      </w:pPr>
      <w:r>
        <w:rPr>
          <w:rFonts w:hint="default" w:ascii="Times New Roman" w:hAnsi="Times New Roman" w:eastAsia="方正仿宋_GBK" w:cs="Times New Roman"/>
          <w:b/>
          <w:bCs/>
          <w:sz w:val="32"/>
          <w:szCs w:val="32"/>
          <w:rtl w:val="0"/>
          <w:lang w:val="en-US" w:eastAsia="zh-CN"/>
        </w:rPr>
        <w:t>1.</w:t>
      </w:r>
      <w:r>
        <w:rPr>
          <w:rFonts w:hint="eastAsia" w:ascii="方正仿宋_GBK" w:hAnsi="方正仿宋_GBK" w:eastAsia="方正仿宋_GBK" w:cs="方正仿宋_GBK"/>
          <w:b/>
          <w:bCs/>
          <w:sz w:val="32"/>
          <w:szCs w:val="32"/>
          <w:rtl w:val="0"/>
          <w:lang w:val="en-US" w:eastAsia="zh-CN"/>
        </w:rPr>
        <w:t>工程量与费用</w:t>
      </w:r>
      <w:r>
        <w:rPr>
          <w:rFonts w:hint="default" w:ascii="方正仿宋_GBK" w:hAnsi="方正仿宋_GBK" w:eastAsia="方正仿宋_GBK" w:cs="方正仿宋_GBK"/>
          <w:b/>
          <w:bCs/>
          <w:sz w:val="32"/>
          <w:szCs w:val="32"/>
          <w:rtl w:val="0"/>
          <w:lang w:val="en-US" w:eastAsia="zh-CN"/>
        </w:rPr>
        <w:t>审计</w:t>
      </w:r>
    </w:p>
    <w:p>
      <w:pPr>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方正仿宋_GBK" w:hAnsi="方正仿宋_GBK" w:eastAsia="方正仿宋_GBK" w:cs="方正仿宋_GBK"/>
          <w:sz w:val="32"/>
          <w:szCs w:val="32"/>
          <w:rtl w:val="0"/>
          <w:lang w:val="en-US" w:eastAsia="zh-CN"/>
        </w:rPr>
      </w:pPr>
      <w:r>
        <w:rPr>
          <w:rFonts w:hint="default" w:ascii="Times New Roman" w:hAnsi="Times New Roman" w:eastAsia="方正仿宋_GBK" w:cs="Times New Roman"/>
          <w:sz w:val="32"/>
          <w:szCs w:val="32"/>
          <w:rtl w:val="0"/>
          <w:lang w:val="en-US" w:eastAsia="zh-CN"/>
        </w:rPr>
        <w:t>（1）</w:t>
      </w:r>
      <w:r>
        <w:rPr>
          <w:rFonts w:hint="default" w:ascii="方正仿宋_GBK" w:hAnsi="方正仿宋_GBK" w:eastAsia="方正仿宋_GBK" w:cs="方正仿宋_GBK"/>
          <w:sz w:val="32"/>
          <w:szCs w:val="32"/>
          <w:rtl w:val="0"/>
          <w:lang w:val="en-US" w:eastAsia="zh-CN"/>
        </w:rPr>
        <w:t>合同</w:t>
      </w:r>
      <w:r>
        <w:rPr>
          <w:rFonts w:hint="eastAsia" w:ascii="方正仿宋_GBK" w:hAnsi="方正仿宋_GBK" w:eastAsia="方正仿宋_GBK" w:cs="方正仿宋_GBK"/>
          <w:sz w:val="32"/>
          <w:szCs w:val="32"/>
          <w:rtl w:val="0"/>
          <w:lang w:val="en-US" w:eastAsia="zh-CN"/>
        </w:rPr>
        <w:t>结算</w:t>
      </w:r>
      <w:r>
        <w:rPr>
          <w:rFonts w:hint="default" w:ascii="方正仿宋_GBK" w:hAnsi="方正仿宋_GBK" w:eastAsia="方正仿宋_GBK" w:cs="方正仿宋_GBK"/>
          <w:sz w:val="32"/>
          <w:szCs w:val="32"/>
          <w:rtl w:val="0"/>
          <w:lang w:val="en-US" w:eastAsia="zh-CN"/>
        </w:rPr>
        <w:t>金额审核：对项目主合同、补充协议、变更洽商等所有合同文件的总金额、分项金额进行核对与复核</w:t>
      </w:r>
      <w:r>
        <w:rPr>
          <w:rFonts w:hint="eastAsia" w:ascii="方正仿宋_GBK" w:hAnsi="方正仿宋_GBK" w:eastAsia="方正仿宋_GBK" w:cs="方正仿宋_GBK"/>
          <w:sz w:val="32"/>
          <w:szCs w:val="32"/>
          <w:rtl w:val="0"/>
          <w:lang w:val="en-US" w:eastAsia="zh-CN"/>
        </w:rPr>
        <w:t>，对承建方申报的最终结算金额提出专业审计意见</w:t>
      </w:r>
      <w:r>
        <w:rPr>
          <w:rFonts w:hint="default" w:ascii="方正仿宋_GBK" w:hAnsi="方正仿宋_GBK" w:eastAsia="方正仿宋_GBK" w:cs="方正仿宋_GBK"/>
          <w:sz w:val="32"/>
          <w:szCs w:val="32"/>
          <w:rtl w:val="0"/>
          <w:lang w:val="en-US" w:eastAsia="zh-CN"/>
        </w:rPr>
        <w:t>。</w:t>
      </w:r>
    </w:p>
    <w:p>
      <w:pPr>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方正仿宋_GBK" w:hAnsi="方正仿宋_GBK" w:eastAsia="方正仿宋_GBK" w:cs="方正仿宋_GBK"/>
          <w:sz w:val="32"/>
          <w:szCs w:val="32"/>
          <w:rtl w:val="0"/>
          <w:lang w:val="en-US" w:eastAsia="zh-CN"/>
        </w:rPr>
      </w:pPr>
      <w:r>
        <w:rPr>
          <w:rFonts w:hint="default" w:ascii="Times New Roman" w:hAnsi="Times New Roman" w:eastAsia="方正仿宋_GBK" w:cs="Times New Roman"/>
          <w:sz w:val="32"/>
          <w:szCs w:val="32"/>
          <w:rtl w:val="0"/>
          <w:lang w:val="en-US" w:eastAsia="zh-CN"/>
        </w:rPr>
        <w:t>（2）</w:t>
      </w:r>
      <w:r>
        <w:rPr>
          <w:rFonts w:hint="default" w:ascii="方正仿宋_GBK" w:hAnsi="方正仿宋_GBK" w:eastAsia="方正仿宋_GBK" w:cs="方正仿宋_GBK"/>
          <w:sz w:val="32"/>
          <w:szCs w:val="32"/>
          <w:rtl w:val="0"/>
          <w:lang w:val="en-US" w:eastAsia="zh-CN"/>
        </w:rPr>
        <w:t>支付款项审核：审核招标人（即项目业主方）已支付给项目承建方及其他供应商的所有款项，核对发票、支付凭证、银行回单等原始单据，确保支付流程合规、金额准确。</w:t>
      </w:r>
    </w:p>
    <w:p>
      <w:pPr>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方正仿宋_GBK" w:hAnsi="方正仿宋_GBK" w:eastAsia="方正仿宋_GBK" w:cs="方正仿宋_GBK"/>
          <w:sz w:val="32"/>
          <w:szCs w:val="32"/>
          <w:rtl w:val="0"/>
          <w:lang w:val="en-US" w:eastAsia="zh-CN"/>
        </w:rPr>
      </w:pPr>
      <w:r>
        <w:rPr>
          <w:rFonts w:hint="default" w:ascii="Times New Roman" w:hAnsi="Times New Roman" w:eastAsia="方正仿宋_GBK" w:cs="Times New Roman"/>
          <w:sz w:val="32"/>
          <w:szCs w:val="32"/>
          <w:rtl w:val="0"/>
          <w:lang w:val="en-US" w:eastAsia="zh-CN"/>
        </w:rPr>
        <w:t>（3）</w:t>
      </w:r>
      <w:r>
        <w:rPr>
          <w:rFonts w:hint="default" w:ascii="方正仿宋_GBK" w:hAnsi="方正仿宋_GBK" w:eastAsia="方正仿宋_GBK" w:cs="方正仿宋_GBK"/>
          <w:sz w:val="32"/>
          <w:szCs w:val="32"/>
          <w:rtl w:val="0"/>
          <w:lang w:val="en-US" w:eastAsia="zh-CN"/>
        </w:rPr>
        <w:t>工程量及服务量审核：结合项目验收报告、设备到货清单、软件许可证明、系统测试报告等文件，对承建方申报结算的硬件设备、软件产品、系统开发、技术服务等工程量及服务量进行真实性和准确性审核。</w:t>
      </w:r>
    </w:p>
    <w:p>
      <w:pPr>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sz w:val="32"/>
          <w:szCs w:val="32"/>
          <w:rtl w:val="0"/>
          <w:lang w:val="en-US" w:eastAsia="zh-CN"/>
        </w:rPr>
      </w:pPr>
      <w:r>
        <w:rPr>
          <w:rFonts w:hint="eastAsia" w:ascii="方正仿宋_GBK" w:hAnsi="方正仿宋_GBK" w:eastAsia="方正仿宋_GBK" w:cs="方正仿宋_GBK"/>
          <w:sz w:val="32"/>
          <w:szCs w:val="32"/>
          <w:rtl w:val="0"/>
          <w:lang w:val="en-US" w:eastAsia="zh-CN"/>
        </w:rPr>
        <w:t>其中，应根据《“数智化管控系统项目（一期）”补充协议》</w:t>
      </w:r>
      <w:r>
        <w:rPr>
          <w:rFonts w:hint="default" w:ascii="Times New Roman" w:hAnsi="Times New Roman" w:eastAsia="方正仿宋_GBK" w:cs="Times New Roman"/>
          <w:sz w:val="32"/>
          <w:szCs w:val="32"/>
          <w:rtl w:val="0"/>
          <w:lang w:val="en-US" w:eastAsia="zh-CN"/>
        </w:rPr>
        <w:t>6.2</w:t>
      </w:r>
      <w:r>
        <w:rPr>
          <w:rFonts w:hint="eastAsia" w:ascii="方正仿宋_GBK" w:hAnsi="方正仿宋_GBK" w:eastAsia="方正仿宋_GBK" w:cs="方正仿宋_GBK"/>
          <w:sz w:val="32"/>
          <w:szCs w:val="32"/>
          <w:rtl w:val="0"/>
          <w:lang w:val="en-US" w:eastAsia="zh-CN"/>
        </w:rPr>
        <w:t>条要求，对“新增功能”的内容进行核价，并单独出具《新增功能核价报告》。</w:t>
      </w:r>
    </w:p>
    <w:p>
      <w:pPr>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方正仿宋_GBK" w:hAnsi="方正仿宋_GBK" w:eastAsia="方正仿宋_GBK" w:cs="方正仿宋_GBK"/>
          <w:sz w:val="32"/>
          <w:szCs w:val="32"/>
          <w:rtl w:val="0"/>
          <w:lang w:val="en-US" w:eastAsia="zh-CN"/>
        </w:rPr>
      </w:pPr>
      <w:r>
        <w:rPr>
          <w:rFonts w:hint="eastAsia" w:ascii="方正仿宋_GBK" w:hAnsi="方正仿宋_GBK" w:eastAsia="方正仿宋_GBK" w:cs="方正仿宋_GBK"/>
          <w:sz w:val="32"/>
          <w:szCs w:val="32"/>
          <w:rtl w:val="0"/>
          <w:lang w:val="en-US" w:eastAsia="zh-CN"/>
        </w:rPr>
        <w:t>同时，应根据《“数智化管控系统项目（一期）”补充协议》</w:t>
      </w:r>
      <w:r>
        <w:rPr>
          <w:rFonts w:hint="default" w:ascii="Times New Roman" w:hAnsi="Times New Roman" w:eastAsia="方正仿宋_GBK" w:cs="Times New Roman"/>
          <w:sz w:val="32"/>
          <w:szCs w:val="32"/>
          <w:rtl w:val="0"/>
          <w:lang w:val="en-US" w:eastAsia="zh-CN"/>
        </w:rPr>
        <w:t>12.3</w:t>
      </w:r>
      <w:r>
        <w:rPr>
          <w:rFonts w:hint="eastAsia" w:ascii="方正仿宋_GBK" w:hAnsi="方正仿宋_GBK" w:eastAsia="方正仿宋_GBK" w:cs="方正仿宋_GBK"/>
          <w:sz w:val="32"/>
          <w:szCs w:val="32"/>
          <w:rtl w:val="0"/>
          <w:lang w:val="en-US" w:eastAsia="zh-CN"/>
        </w:rPr>
        <w:t>条要求，对原合同第三部分“专用合同条款”第</w:t>
      </w:r>
      <w:r>
        <w:rPr>
          <w:rFonts w:hint="eastAsia" w:ascii="Times New Roman" w:hAnsi="Times New Roman" w:eastAsia="方正仿宋_GBK" w:cs="Times New Roman"/>
          <w:sz w:val="32"/>
          <w:szCs w:val="32"/>
          <w:rtl w:val="0"/>
          <w:lang w:val="en-US" w:eastAsia="zh-CN"/>
        </w:rPr>
        <w:t>28.2</w:t>
      </w:r>
      <w:r>
        <w:rPr>
          <w:rFonts w:hint="eastAsia" w:ascii="方正仿宋_GBK" w:hAnsi="方正仿宋_GBK" w:eastAsia="方正仿宋_GBK" w:cs="方正仿宋_GBK"/>
          <w:sz w:val="32"/>
          <w:szCs w:val="32"/>
          <w:rtl w:val="0"/>
          <w:lang w:val="en-US" w:eastAsia="zh-CN"/>
        </w:rPr>
        <w:t>条“在不改动系统结构的情况下且工作量不超过</w:t>
      </w:r>
      <w:r>
        <w:rPr>
          <w:rFonts w:hint="eastAsia" w:ascii="Times New Roman" w:hAnsi="Times New Roman" w:eastAsia="方正仿宋_GBK" w:cs="Times New Roman"/>
          <w:sz w:val="32"/>
          <w:szCs w:val="32"/>
          <w:rtl w:val="0"/>
          <w:lang w:val="en-US" w:eastAsia="zh-CN"/>
        </w:rPr>
        <w:t>10%</w:t>
      </w:r>
      <w:r>
        <w:rPr>
          <w:rFonts w:hint="eastAsia" w:ascii="方正仿宋_GBK" w:hAnsi="方正仿宋_GBK" w:eastAsia="方正仿宋_GBK" w:cs="方正仿宋_GBK"/>
          <w:sz w:val="32"/>
          <w:szCs w:val="32"/>
          <w:rtl w:val="0"/>
          <w:lang w:val="en-US" w:eastAsia="zh-CN"/>
        </w:rPr>
        <w:t>的，可根据甲方提出的改进意见，按照提出的新需求进行程序修改或升级”中的具体“工作量”进行科学核定，并单独出具《质保期程序修改或升级工作量核定报告》。</w:t>
      </w:r>
    </w:p>
    <w:p>
      <w:pPr>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方正仿宋_GBK" w:hAnsi="方正仿宋_GBK" w:eastAsia="方正仿宋_GBK" w:cs="方正仿宋_GBK"/>
          <w:sz w:val="32"/>
          <w:szCs w:val="32"/>
          <w:rtl w:val="0"/>
          <w:lang w:val="en-US" w:eastAsia="zh-CN"/>
        </w:rPr>
      </w:pPr>
      <w:r>
        <w:rPr>
          <w:rFonts w:hint="default" w:ascii="Times New Roman" w:hAnsi="Times New Roman" w:eastAsia="方正仿宋_GBK" w:cs="Times New Roman"/>
          <w:sz w:val="32"/>
          <w:szCs w:val="32"/>
          <w:rtl w:val="0"/>
          <w:lang w:val="en-US" w:eastAsia="zh-CN"/>
        </w:rPr>
        <w:t>（4）</w:t>
      </w:r>
      <w:r>
        <w:rPr>
          <w:rFonts w:hint="default" w:ascii="方正仿宋_GBK" w:hAnsi="方正仿宋_GBK" w:eastAsia="方正仿宋_GBK" w:cs="方正仿宋_GBK"/>
          <w:sz w:val="32"/>
          <w:szCs w:val="32"/>
          <w:rtl w:val="0"/>
          <w:lang w:val="en-US" w:eastAsia="zh-CN"/>
        </w:rPr>
        <w:t>费用合规性审核：依据国家相关财税法规、行业标准及合同约定，对项目建设过程中发生的各项费用的计价依据、取费标准和计算过程进行合规性审核。</w:t>
      </w:r>
    </w:p>
    <w:p>
      <w:pPr>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方正仿宋_GBK" w:hAnsi="方正仿宋_GBK" w:eastAsia="方正仿宋_GBK" w:cs="方正仿宋_GBK"/>
          <w:sz w:val="32"/>
          <w:szCs w:val="32"/>
          <w:rtl w:val="0"/>
          <w:lang w:val="en-US" w:eastAsia="zh-CN"/>
        </w:rPr>
      </w:pPr>
      <w:r>
        <w:rPr>
          <w:rFonts w:hint="default" w:ascii="Times New Roman" w:hAnsi="Times New Roman" w:eastAsia="方正仿宋_GBK" w:cs="Times New Roman"/>
          <w:sz w:val="32"/>
          <w:szCs w:val="32"/>
          <w:rtl w:val="0"/>
          <w:lang w:val="en-US" w:eastAsia="zh-CN"/>
        </w:rPr>
        <w:t>（5）</w:t>
      </w:r>
      <w:r>
        <w:rPr>
          <w:rFonts w:hint="default" w:ascii="方正仿宋_GBK" w:hAnsi="方正仿宋_GBK" w:eastAsia="方正仿宋_GBK" w:cs="方正仿宋_GBK"/>
          <w:sz w:val="32"/>
          <w:szCs w:val="32"/>
          <w:rtl w:val="0"/>
          <w:lang w:val="en-US" w:eastAsia="zh-CN"/>
        </w:rPr>
        <w:t>项目变更审核：对项目实施过程中发生的所有设计变更、需求变更、工程洽商等进行专项审核，重点审查变更程序的合规性、变更内容的必要性、变更计价的合理性，防止不合理的费用增加。</w:t>
      </w:r>
    </w:p>
    <w:p>
      <w:pPr>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方正仿宋_GBK" w:hAnsi="方正仿宋_GBK" w:eastAsia="方正仿宋_GBK" w:cs="方正仿宋_GBK"/>
          <w:b/>
          <w:bCs/>
          <w:sz w:val="32"/>
          <w:szCs w:val="32"/>
          <w:rtl w:val="0"/>
          <w:lang w:val="en-US" w:eastAsia="zh-CN"/>
        </w:rPr>
      </w:pPr>
      <w:r>
        <w:rPr>
          <w:rFonts w:hint="default" w:ascii="Times New Roman" w:hAnsi="Times New Roman" w:eastAsia="方正仿宋_GBK" w:cs="Times New Roman"/>
          <w:b/>
          <w:bCs/>
          <w:sz w:val="32"/>
          <w:szCs w:val="32"/>
          <w:rtl w:val="0"/>
          <w:lang w:val="en-US" w:eastAsia="zh-CN"/>
        </w:rPr>
        <w:t>2.</w:t>
      </w:r>
      <w:r>
        <w:rPr>
          <w:rFonts w:hint="default" w:ascii="方正仿宋_GBK" w:hAnsi="方正仿宋_GBK" w:eastAsia="方正仿宋_GBK" w:cs="方正仿宋_GBK"/>
          <w:b/>
          <w:bCs/>
          <w:sz w:val="32"/>
          <w:szCs w:val="32"/>
          <w:rtl w:val="0"/>
          <w:lang w:val="en-US" w:eastAsia="zh-CN"/>
        </w:rPr>
        <w:t>合同履约审计</w:t>
      </w:r>
    </w:p>
    <w:p>
      <w:pPr>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方正仿宋_GBK" w:hAnsi="方正仿宋_GBK" w:eastAsia="方正仿宋_GBK" w:cs="方正仿宋_GBK"/>
          <w:sz w:val="32"/>
          <w:szCs w:val="32"/>
          <w:rtl w:val="0"/>
          <w:lang w:val="en-US" w:eastAsia="zh-CN"/>
        </w:rPr>
      </w:pPr>
      <w:r>
        <w:rPr>
          <w:rFonts w:hint="default" w:ascii="Times New Roman" w:hAnsi="Times New Roman" w:eastAsia="方正仿宋_GBK" w:cs="Times New Roman"/>
          <w:sz w:val="32"/>
          <w:szCs w:val="32"/>
          <w:rtl w:val="0"/>
          <w:lang w:val="en-US" w:eastAsia="zh-CN"/>
        </w:rPr>
        <w:t>（1）</w:t>
      </w:r>
      <w:r>
        <w:rPr>
          <w:rFonts w:hint="default" w:ascii="方正仿宋_GBK" w:hAnsi="方正仿宋_GBK" w:eastAsia="方正仿宋_GBK" w:cs="方正仿宋_GBK"/>
          <w:sz w:val="32"/>
          <w:szCs w:val="32"/>
          <w:rtl w:val="0"/>
          <w:lang w:val="en-US" w:eastAsia="zh-CN"/>
        </w:rPr>
        <w:t>交付成果审核：对照合同约定的交付物清单，核实承建方是否已全部、按时、合规交付。</w:t>
      </w:r>
    </w:p>
    <w:p>
      <w:pPr>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rtl w:val="0"/>
          <w:lang w:val="en-US" w:eastAsia="zh-CN"/>
        </w:rPr>
        <w:t>（2）</w:t>
      </w:r>
      <w:r>
        <w:rPr>
          <w:rFonts w:hint="default" w:ascii="方正仿宋_GBK" w:hAnsi="方正仿宋_GBK" w:eastAsia="方正仿宋_GBK" w:cs="方正仿宋_GBK"/>
          <w:sz w:val="32"/>
          <w:szCs w:val="32"/>
          <w:rtl w:val="0"/>
          <w:lang w:val="en-US" w:eastAsia="zh-CN"/>
        </w:rPr>
        <w:t>服务条款审核：审核合同中约定的维保服务、技术支持、培训等服务条款的履行情况。</w:t>
      </w:r>
    </w:p>
    <w:p>
      <w:pPr>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方正仿宋_GBK" w:hAnsi="方正仿宋_GBK" w:eastAsia="方正仿宋_GBK" w:cs="方正仿宋_GBK"/>
          <w:b/>
          <w:bCs/>
          <w:sz w:val="32"/>
          <w:szCs w:val="32"/>
          <w:rtl w:val="0"/>
          <w:lang w:val="en-US" w:eastAsia="zh-CN"/>
        </w:rPr>
      </w:pPr>
      <w:r>
        <w:rPr>
          <w:rFonts w:hint="default" w:ascii="Times New Roman" w:hAnsi="Times New Roman" w:eastAsia="方正仿宋_GBK" w:cs="Times New Roman"/>
          <w:b/>
          <w:bCs/>
          <w:sz w:val="32"/>
          <w:szCs w:val="32"/>
          <w:rtl w:val="0"/>
          <w:lang w:val="en-US" w:eastAsia="zh-CN"/>
        </w:rPr>
        <w:t>3.</w:t>
      </w:r>
      <w:r>
        <w:rPr>
          <w:rFonts w:hint="default" w:ascii="方正仿宋_GBK" w:hAnsi="方正仿宋_GBK" w:eastAsia="方正仿宋_GBK" w:cs="方正仿宋_GBK"/>
          <w:b/>
          <w:bCs/>
          <w:sz w:val="32"/>
          <w:szCs w:val="32"/>
          <w:rtl w:val="0"/>
          <w:lang w:val="en-US" w:eastAsia="zh-CN"/>
        </w:rPr>
        <w:t>资产审计</w:t>
      </w:r>
    </w:p>
    <w:p>
      <w:pPr>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方正仿宋_GBK" w:hAnsi="方正仿宋_GBK" w:eastAsia="方正仿宋_GBK" w:cs="方正仿宋_GBK"/>
          <w:sz w:val="32"/>
          <w:szCs w:val="32"/>
          <w:rtl w:val="0"/>
          <w:lang w:val="en-US" w:eastAsia="zh-CN"/>
        </w:rPr>
      </w:pPr>
      <w:r>
        <w:rPr>
          <w:rFonts w:hint="default" w:ascii="Times New Roman" w:hAnsi="Times New Roman" w:eastAsia="方正仿宋_GBK" w:cs="Times New Roman"/>
          <w:sz w:val="32"/>
          <w:szCs w:val="32"/>
          <w:rtl w:val="0"/>
          <w:lang w:val="en-US" w:eastAsia="zh-CN"/>
        </w:rPr>
        <w:t>（1）</w:t>
      </w:r>
      <w:r>
        <w:rPr>
          <w:rFonts w:hint="default" w:ascii="方正仿宋_GBK" w:hAnsi="方正仿宋_GBK" w:eastAsia="方正仿宋_GBK" w:cs="方正仿宋_GBK"/>
          <w:sz w:val="32"/>
          <w:szCs w:val="32"/>
          <w:rtl w:val="0"/>
          <w:lang w:val="en-US" w:eastAsia="zh-CN"/>
        </w:rPr>
        <w:t>固定资产与无形资产核实：清点并核实项目中形成的硬件设备、软件许可、知识产权等固定资产和无形资产的规格、型号、数量、品牌，确保与合同及到货清单一致。</w:t>
      </w:r>
    </w:p>
    <w:p>
      <w:pPr>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rtl w:val="0"/>
          <w:lang w:val="en-US" w:eastAsia="zh-CN"/>
        </w:rPr>
        <w:t>（2）</w:t>
      </w:r>
      <w:r>
        <w:rPr>
          <w:rFonts w:hint="default" w:ascii="方正仿宋_GBK" w:hAnsi="方正仿宋_GBK" w:eastAsia="方正仿宋_GBK" w:cs="方正仿宋_GBK"/>
          <w:sz w:val="32"/>
          <w:szCs w:val="32"/>
          <w:rtl w:val="0"/>
          <w:lang w:val="en-US" w:eastAsia="zh-CN"/>
        </w:rPr>
        <w:t>资产权属</w:t>
      </w:r>
      <w:r>
        <w:rPr>
          <w:rFonts w:hint="eastAsia" w:ascii="方正仿宋_GBK" w:hAnsi="方正仿宋_GBK" w:eastAsia="方正仿宋_GBK" w:cs="方正仿宋_GBK"/>
          <w:sz w:val="32"/>
          <w:szCs w:val="32"/>
          <w:rtl w:val="0"/>
          <w:lang w:val="en-US" w:eastAsia="zh-CN"/>
        </w:rPr>
        <w:t>归属</w:t>
      </w:r>
      <w:r>
        <w:rPr>
          <w:rFonts w:hint="default" w:ascii="方正仿宋_GBK" w:hAnsi="方正仿宋_GBK" w:eastAsia="方正仿宋_GBK" w:cs="方正仿宋_GBK"/>
          <w:sz w:val="32"/>
          <w:szCs w:val="32"/>
          <w:rtl w:val="0"/>
          <w:lang w:val="en-US" w:eastAsia="zh-CN"/>
        </w:rPr>
        <w:t>审核：审核相关资产的权属是否已按合同约定转移至招标人名下，相关证明文件是否齐全。</w:t>
      </w:r>
    </w:p>
    <w:p>
      <w:pPr>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方正仿宋_GBK" w:hAnsi="方正仿宋_GBK" w:eastAsia="方正仿宋_GBK" w:cs="方正仿宋_GBK"/>
          <w:b/>
          <w:bCs/>
          <w:sz w:val="32"/>
          <w:szCs w:val="32"/>
          <w:rtl w:val="0"/>
          <w:lang w:val="en-US" w:eastAsia="zh-CN"/>
        </w:rPr>
      </w:pPr>
      <w:r>
        <w:rPr>
          <w:rFonts w:hint="default" w:ascii="Times New Roman" w:hAnsi="Times New Roman" w:eastAsia="方正仿宋_GBK" w:cs="Times New Roman"/>
          <w:b/>
          <w:bCs/>
          <w:sz w:val="32"/>
          <w:szCs w:val="32"/>
          <w:rtl w:val="0"/>
          <w:lang w:val="en-US" w:eastAsia="zh-CN"/>
        </w:rPr>
        <w:t>4.</w:t>
      </w:r>
      <w:r>
        <w:rPr>
          <w:rFonts w:hint="default" w:ascii="方正仿宋_GBK" w:hAnsi="方正仿宋_GBK" w:eastAsia="方正仿宋_GBK" w:cs="方正仿宋_GBK"/>
          <w:b/>
          <w:bCs/>
          <w:sz w:val="32"/>
          <w:szCs w:val="32"/>
          <w:rtl w:val="0"/>
          <w:lang w:val="en-US" w:eastAsia="zh-CN"/>
        </w:rPr>
        <w:t>过程文档审计</w:t>
      </w:r>
    </w:p>
    <w:p>
      <w:pPr>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方正仿宋_GBK" w:hAnsi="方正仿宋_GBK" w:eastAsia="方正仿宋_GBK" w:cs="方正仿宋_GBK"/>
          <w:sz w:val="32"/>
          <w:szCs w:val="32"/>
          <w:rtl w:val="0"/>
          <w:lang w:val="en-US" w:eastAsia="zh-CN"/>
        </w:rPr>
      </w:pPr>
      <w:r>
        <w:rPr>
          <w:rFonts w:hint="default" w:ascii="Times New Roman" w:hAnsi="Times New Roman" w:eastAsia="方正仿宋_GBK" w:cs="Times New Roman"/>
          <w:sz w:val="32"/>
          <w:szCs w:val="32"/>
          <w:rtl w:val="0"/>
          <w:lang w:val="en-US" w:eastAsia="zh-CN"/>
        </w:rPr>
        <w:t>（1）</w:t>
      </w:r>
      <w:r>
        <w:rPr>
          <w:rFonts w:hint="default" w:ascii="方正仿宋_GBK" w:hAnsi="方正仿宋_GBK" w:eastAsia="方正仿宋_GBK" w:cs="方正仿宋_GBK"/>
          <w:sz w:val="32"/>
          <w:szCs w:val="32"/>
          <w:rtl w:val="0"/>
          <w:lang w:val="en-US" w:eastAsia="zh-CN"/>
        </w:rPr>
        <w:t>关键</w:t>
      </w:r>
      <w:r>
        <w:rPr>
          <w:rFonts w:hint="eastAsia" w:ascii="方正仿宋_GBK" w:hAnsi="方正仿宋_GBK" w:eastAsia="方正仿宋_GBK" w:cs="方正仿宋_GBK"/>
          <w:sz w:val="32"/>
          <w:szCs w:val="32"/>
          <w:rtl w:val="0"/>
          <w:lang w:val="en-US" w:eastAsia="zh-CN"/>
        </w:rPr>
        <w:t>阶段</w:t>
      </w:r>
      <w:r>
        <w:rPr>
          <w:rFonts w:hint="default" w:ascii="方正仿宋_GBK" w:hAnsi="方正仿宋_GBK" w:eastAsia="方正仿宋_GBK" w:cs="方正仿宋_GBK"/>
          <w:sz w:val="32"/>
          <w:szCs w:val="32"/>
          <w:rtl w:val="0"/>
          <w:lang w:val="en-US" w:eastAsia="zh-CN"/>
        </w:rPr>
        <w:t>文档复核：对项目的立项、需求、设计、开发、测试、上线、验收等关键阶段的文档进行完整性和规范性</w:t>
      </w:r>
      <w:r>
        <w:rPr>
          <w:rFonts w:hint="eastAsia" w:ascii="方正仿宋_GBK" w:hAnsi="方正仿宋_GBK" w:eastAsia="方正仿宋_GBK" w:cs="方正仿宋_GBK"/>
          <w:sz w:val="32"/>
          <w:szCs w:val="32"/>
          <w:rtl w:val="0"/>
          <w:lang w:val="en-US" w:eastAsia="zh-CN"/>
        </w:rPr>
        <w:t>审核</w:t>
      </w:r>
      <w:r>
        <w:rPr>
          <w:rFonts w:hint="default" w:ascii="方正仿宋_GBK" w:hAnsi="方正仿宋_GBK" w:eastAsia="方正仿宋_GBK" w:cs="方正仿宋_GBK"/>
          <w:sz w:val="32"/>
          <w:szCs w:val="32"/>
          <w:rtl w:val="0"/>
          <w:lang w:val="en-US" w:eastAsia="zh-CN"/>
        </w:rPr>
        <w:t>。</w:t>
      </w:r>
    </w:p>
    <w:p>
      <w:pPr>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方正仿宋_GBK" w:hAnsi="方正仿宋_GBK" w:eastAsia="方正仿宋_GBK" w:cs="方正仿宋_GBK"/>
          <w:sz w:val="32"/>
          <w:szCs w:val="32"/>
          <w:rtl w:val="0"/>
          <w:lang w:val="en-US" w:eastAsia="zh-CN"/>
        </w:rPr>
      </w:pPr>
      <w:r>
        <w:rPr>
          <w:rFonts w:hint="default" w:ascii="Times New Roman" w:hAnsi="Times New Roman" w:eastAsia="方正仿宋_GBK" w:cs="Times New Roman"/>
          <w:sz w:val="32"/>
          <w:szCs w:val="32"/>
          <w:rtl w:val="0"/>
          <w:lang w:val="en-US" w:eastAsia="zh-CN"/>
        </w:rPr>
        <w:t>（2）</w:t>
      </w:r>
      <w:r>
        <w:rPr>
          <w:rFonts w:hint="default" w:ascii="方正仿宋_GBK" w:hAnsi="方正仿宋_GBK" w:eastAsia="方正仿宋_GBK" w:cs="方正仿宋_GBK"/>
          <w:sz w:val="32"/>
          <w:szCs w:val="32"/>
          <w:rtl w:val="0"/>
          <w:lang w:val="en-US" w:eastAsia="zh-CN"/>
        </w:rPr>
        <w:t>管理过程</w:t>
      </w:r>
      <w:r>
        <w:rPr>
          <w:rFonts w:hint="eastAsia" w:ascii="方正仿宋_GBK" w:hAnsi="方正仿宋_GBK" w:eastAsia="方正仿宋_GBK" w:cs="方正仿宋_GBK"/>
          <w:sz w:val="32"/>
          <w:szCs w:val="32"/>
          <w:rtl w:val="0"/>
          <w:lang w:val="en-US" w:eastAsia="zh-CN"/>
        </w:rPr>
        <w:t>文档</w:t>
      </w:r>
      <w:r>
        <w:rPr>
          <w:rFonts w:hint="default" w:ascii="方正仿宋_GBK" w:hAnsi="方正仿宋_GBK" w:eastAsia="方正仿宋_GBK" w:cs="方正仿宋_GBK"/>
          <w:sz w:val="32"/>
          <w:szCs w:val="32"/>
          <w:rtl w:val="0"/>
          <w:lang w:val="en-US" w:eastAsia="zh-CN"/>
        </w:rPr>
        <w:t>复核：对项目的会议纪要、变更记录、风险报告等重要管理文档进行审核，评估项目管理过程的规范性。</w:t>
      </w:r>
    </w:p>
    <w:p>
      <w:pPr>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方正仿宋_GBK" w:hAnsi="方正仿宋_GBK" w:eastAsia="方正仿宋_GBK" w:cs="方正仿宋_GBK"/>
          <w:b/>
          <w:bCs/>
          <w:sz w:val="32"/>
          <w:szCs w:val="32"/>
          <w:rtl w:val="0"/>
          <w:lang w:val="en-US" w:eastAsia="zh-CN"/>
        </w:rPr>
      </w:pPr>
      <w:r>
        <w:rPr>
          <w:rFonts w:hint="default" w:ascii="Times New Roman" w:hAnsi="Times New Roman" w:eastAsia="方正仿宋_GBK" w:cs="Times New Roman"/>
          <w:b/>
          <w:bCs/>
          <w:sz w:val="32"/>
          <w:szCs w:val="32"/>
          <w:rtl w:val="0"/>
          <w:lang w:val="en-US" w:eastAsia="zh-CN"/>
        </w:rPr>
        <w:t>5.</w:t>
      </w:r>
      <w:r>
        <w:rPr>
          <w:rFonts w:hint="eastAsia" w:ascii="方正仿宋_GBK" w:hAnsi="方正仿宋_GBK" w:eastAsia="方正仿宋_GBK" w:cs="方正仿宋_GBK"/>
          <w:b/>
          <w:bCs/>
          <w:sz w:val="32"/>
          <w:szCs w:val="32"/>
          <w:rtl w:val="0"/>
          <w:lang w:val="en-US" w:eastAsia="zh-CN"/>
        </w:rPr>
        <w:t>其他相关内容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sz w:val="32"/>
          <w:szCs w:val="32"/>
          <w:rtl w:val="0"/>
          <w:lang w:val="en-US" w:eastAsia="zh-CN"/>
        </w:rPr>
      </w:pPr>
      <w:r>
        <w:rPr>
          <w:rFonts w:hint="eastAsia" w:ascii="方正仿宋_GBK" w:hAnsi="方正仿宋_GBK" w:eastAsia="方正仿宋_GBK" w:cs="方正仿宋_GBK"/>
          <w:sz w:val="32"/>
          <w:szCs w:val="32"/>
          <w:rtl w:val="0"/>
          <w:lang w:val="en-US" w:eastAsia="zh-CN"/>
        </w:rPr>
        <w:t>配合业主方对工程结算报告的审核，协同完成</w:t>
      </w:r>
      <w:r>
        <w:rPr>
          <w:rFonts w:hint="eastAsia" w:ascii="方正仿宋_GBK" w:hAnsi="方正仿宋_GBK" w:eastAsia="方正仿宋_GBK" w:cs="方正仿宋_GBK"/>
          <w:strike w:val="0"/>
          <w:dstrike w:val="0"/>
          <w:sz w:val="32"/>
          <w:szCs w:val="32"/>
          <w:rtl w:val="0"/>
          <w:lang w:val="en-US" w:eastAsia="zh-CN"/>
        </w:rPr>
        <w:t>项目决算审计的相关工作。</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（二）服务要求：</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仿宋_GBK" w:hAnsi="方正仿宋_GBK" w:eastAsia="方正仿宋_GBK" w:cs="方正仿宋_GBK"/>
          <w:b/>
          <w:bCs/>
          <w:sz w:val="32"/>
          <w:szCs w:val="32"/>
        </w:rPr>
      </w:pPr>
      <w:r>
        <w:rPr>
          <w:rFonts w:hint="default" w:ascii="Times New Roman" w:hAnsi="Times New Roman" w:eastAsia="方正仿宋_GBK" w:cs="Times New Roman"/>
          <w:b/>
          <w:bCs/>
          <w:sz w:val="32"/>
          <w:szCs w:val="32"/>
          <w:lang w:val="en-US" w:eastAsia="zh-CN"/>
        </w:rPr>
        <w:t>1.</w:t>
      </w:r>
      <w:r>
        <w:rPr>
          <w:rFonts w:hint="eastAsia" w:ascii="方正仿宋_GBK" w:hAnsi="方正仿宋_GBK" w:eastAsia="方正仿宋_GBK" w:cs="方正仿宋_GBK"/>
          <w:b/>
          <w:bCs/>
          <w:sz w:val="32"/>
          <w:szCs w:val="32"/>
        </w:rPr>
        <w:t>服务团队要求</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w:t>
      </w:r>
      <w:r>
        <w:rPr>
          <w:rFonts w:hint="eastAsia" w:ascii="方正仿宋_GBK" w:hAnsi="方正仿宋_GBK" w:eastAsia="方正仿宋_GBK" w:cs="方正仿宋_GBK"/>
          <w:sz w:val="32"/>
          <w:szCs w:val="32"/>
        </w:rPr>
        <w:t>团队整体能力</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①审计团队应由项目负责人、主审计师（审计组长）和助理审计员构成，且团队成员应具备与本项目服务内容相匹配的相关专业能力和资质证书（具体以评分办法内容为准）。</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②根据工程结算审核工作的性质、业务量、难度及时间进度，并结合建设单位对结算审核任务的要求和规避原则，编制结算审核方案，并对工作组成员提出任务性质、工作量、完成时间、注意事项等要求，同时进行结算审核前有关法律法规、主要业务培训，为现场</w:t>
      </w:r>
      <w:r>
        <w:rPr>
          <w:rFonts w:hint="eastAsia" w:ascii="方正仿宋_GBK" w:hAnsi="方正仿宋_GBK" w:eastAsia="方正仿宋_GBK" w:cs="方正仿宋_GBK"/>
          <w:sz w:val="32"/>
          <w:szCs w:val="32"/>
          <w:lang w:eastAsia="zh-CN"/>
        </w:rPr>
        <w:t>核价</w:t>
      </w:r>
      <w:r>
        <w:rPr>
          <w:rFonts w:hint="eastAsia" w:ascii="方正仿宋_GBK" w:hAnsi="方正仿宋_GBK" w:eastAsia="方正仿宋_GBK" w:cs="方正仿宋_GBK"/>
          <w:sz w:val="32"/>
          <w:szCs w:val="32"/>
        </w:rPr>
        <w:t>咨询打好基础。</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w:t>
      </w:r>
      <w:r>
        <w:rPr>
          <w:rFonts w:hint="eastAsia" w:ascii="方正仿宋_GBK" w:hAnsi="方正仿宋_GBK" w:eastAsia="方正仿宋_GBK" w:cs="方正仿宋_GBK"/>
          <w:sz w:val="32"/>
          <w:szCs w:val="32"/>
        </w:rPr>
        <w:t>团队稳定性</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①审计服务过程中，必须保证项目团队负责人、主审计师及主要技术人员的稳定，未经采购人同意不得私自更项目团队负责人、主审计师和主要技术人员，若有特殊情况需更换，须提前经采购人批准，且替换人员的专业技术职称不得低于被更换人员的专业技术职称。</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②如采购人在审计过程中认为派入审计人员不满足审计工作质量或效率需要，要求更换、增加审计组人员，比选申请人应按采购人要求及时提供同等资质和工作经验人员予以更换或增加。</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eastAsia="zh-CN"/>
        </w:rPr>
        <w:t>）</w:t>
      </w:r>
      <w:r>
        <w:rPr>
          <w:rFonts w:hint="eastAsia" w:ascii="方正仿宋_GBK" w:hAnsi="方正仿宋_GBK" w:eastAsia="方正仿宋_GBK" w:cs="方正仿宋_GBK"/>
          <w:sz w:val="32"/>
          <w:szCs w:val="32"/>
        </w:rPr>
        <w:t>协调能力</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①审计团队负责人定期组织工作汇报会，向相关项目负责人汇报工作进展情况以及存在的风险和处置措施。</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②审计过程中，应与相关项目负责人保持良好的沟通。及时了解采购人的需求和反馈，对采购人的合理要求给予积极响应和支持。</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③及时响应本项目主管部门及政府有关部门的指导、监督。</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eastAsia="zh-CN"/>
        </w:rPr>
        <w:t>）</w:t>
      </w:r>
      <w:r>
        <w:rPr>
          <w:rFonts w:hint="eastAsia" w:ascii="方正仿宋_GBK" w:hAnsi="方正仿宋_GBK" w:eastAsia="方正仿宋_GBK" w:cs="方正仿宋_GBK"/>
          <w:sz w:val="32"/>
          <w:szCs w:val="32"/>
        </w:rPr>
        <w:t>管理能力</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提供审计服务的企业应具备较高的科学管理水平及完善的管理制度，比选申请人应在响应文件中就审计工作相关的管理方法、质量体系等进行陈述。</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仿宋_GBK" w:hAnsi="方正仿宋_GBK" w:eastAsia="方正仿宋_GBK" w:cs="方正仿宋_GBK"/>
          <w:b/>
          <w:bCs/>
          <w:sz w:val="32"/>
          <w:szCs w:val="32"/>
        </w:rPr>
      </w:pPr>
      <w:r>
        <w:rPr>
          <w:rFonts w:hint="default" w:ascii="Times New Roman" w:hAnsi="Times New Roman" w:eastAsia="方正仿宋_GBK" w:cs="Times New Roman"/>
          <w:b/>
          <w:bCs/>
          <w:sz w:val="32"/>
          <w:szCs w:val="32"/>
          <w:lang w:val="en-US" w:eastAsia="zh-CN"/>
        </w:rPr>
        <w:t>2.</w:t>
      </w:r>
      <w:r>
        <w:rPr>
          <w:rFonts w:hint="eastAsia" w:ascii="方正仿宋_GBK" w:hAnsi="方正仿宋_GBK" w:eastAsia="方正仿宋_GBK" w:cs="方正仿宋_GBK"/>
          <w:b/>
          <w:bCs/>
          <w:sz w:val="32"/>
          <w:szCs w:val="32"/>
        </w:rPr>
        <w:t>成果要求</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中标人应按时提交以下成果文件，所有交付物均需提供纸质版</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eastAsia="zh-CN"/>
        </w:rPr>
        <w:t>】份</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A4</w:t>
      </w:r>
      <w:r>
        <w:rPr>
          <w:rFonts w:hint="eastAsia" w:ascii="方正仿宋_GBK" w:hAnsi="方正仿宋_GBK" w:eastAsia="方正仿宋_GBK" w:cs="方正仿宋_GBK"/>
          <w:sz w:val="32"/>
          <w:szCs w:val="32"/>
        </w:rPr>
        <w:t>纸张打印、</w:t>
      </w:r>
      <w:r>
        <w:rPr>
          <w:rFonts w:hint="eastAsia" w:ascii="方正仿宋_GBK" w:hAnsi="方正仿宋_GBK" w:eastAsia="方正仿宋_GBK" w:cs="方正仿宋_GBK"/>
          <w:sz w:val="32"/>
          <w:szCs w:val="32"/>
          <w:lang w:val="en-US" w:eastAsia="zh-CN"/>
        </w:rPr>
        <w:t>胶装</w:t>
      </w:r>
      <w:r>
        <w:rPr>
          <w:rFonts w:hint="eastAsia" w:ascii="方正仿宋_GBK" w:hAnsi="方正仿宋_GBK" w:eastAsia="方正仿宋_GBK" w:cs="方正仿宋_GBK"/>
          <w:sz w:val="32"/>
          <w:szCs w:val="32"/>
        </w:rPr>
        <w:t>成册</w:t>
      </w:r>
      <w:r>
        <w:rPr>
          <w:rFonts w:hint="eastAsia" w:ascii="方正仿宋_GBK" w:hAnsi="方正仿宋_GBK" w:eastAsia="方正仿宋_GBK" w:cs="方正仿宋_GBK"/>
          <w:sz w:val="32"/>
          <w:szCs w:val="32"/>
          <w:lang w:val="en-US" w:eastAsia="zh-CN"/>
        </w:rPr>
        <w:t>并</w:t>
      </w:r>
      <w:r>
        <w:rPr>
          <w:rFonts w:hint="eastAsia" w:ascii="方正仿宋_GBK" w:hAnsi="方正仿宋_GBK" w:eastAsia="方正仿宋_GBK" w:cs="方正仿宋_GBK"/>
          <w:sz w:val="32"/>
          <w:szCs w:val="32"/>
        </w:rPr>
        <w:t>加盖公章）和电子版【</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rPr>
        <w:t>】份（</w:t>
      </w:r>
      <w:r>
        <w:rPr>
          <w:rFonts w:hint="default" w:ascii="Times New Roman" w:hAnsi="Times New Roman" w:eastAsia="方正仿宋_GBK" w:cs="Times New Roman"/>
          <w:sz w:val="32"/>
          <w:szCs w:val="32"/>
        </w:rPr>
        <w:t>U</w:t>
      </w:r>
      <w:r>
        <w:rPr>
          <w:rFonts w:hint="eastAsia" w:ascii="方正仿宋_GBK" w:hAnsi="方正仿宋_GBK" w:eastAsia="方正仿宋_GBK" w:cs="方正仿宋_GBK"/>
          <w:sz w:val="32"/>
          <w:szCs w:val="32"/>
        </w:rPr>
        <w:t>盘或光盘存储，内容应同时包含盖章扫描的</w:t>
      </w:r>
      <w:r>
        <w:rPr>
          <w:rFonts w:hint="eastAsia" w:ascii="Times New Roman" w:hAnsi="Times New Roman" w:eastAsia="方正仿宋_GBK" w:cs="Times New Roman"/>
          <w:sz w:val="32"/>
          <w:szCs w:val="32"/>
        </w:rPr>
        <w:t>PDF</w:t>
      </w:r>
      <w:r>
        <w:rPr>
          <w:rFonts w:hint="eastAsia" w:ascii="方正仿宋_GBK" w:hAnsi="方正仿宋_GBK" w:eastAsia="方正仿宋_GBK" w:cs="方正仿宋_GBK"/>
          <w:sz w:val="32"/>
          <w:szCs w:val="32"/>
        </w:rPr>
        <w:t>格式文件与可编辑的</w:t>
      </w:r>
      <w:r>
        <w:rPr>
          <w:rFonts w:hint="default" w:ascii="Times New Roman" w:hAnsi="Times New Roman" w:eastAsia="方正仿宋_GBK" w:cs="Times New Roman"/>
          <w:sz w:val="32"/>
          <w:szCs w:val="32"/>
        </w:rPr>
        <w:t>Word/Excel</w:t>
      </w:r>
      <w:r>
        <w:rPr>
          <w:rFonts w:hint="eastAsia" w:ascii="方正仿宋_GBK" w:hAnsi="方正仿宋_GBK" w:eastAsia="方正仿宋_GBK" w:cs="方正仿宋_GBK"/>
          <w:sz w:val="32"/>
          <w:szCs w:val="32"/>
        </w:rPr>
        <w:t>格式文件）。</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eastAsia="zh-CN"/>
        </w:rPr>
        <w:t>（</w:t>
      </w:r>
      <w:r>
        <w:rPr>
          <w:rFonts w:hint="default" w:ascii="Times New Roman" w:hAnsi="Times New Roman" w:eastAsia="方正仿宋_GBK" w:cs="Times New Roman"/>
          <w:b/>
          <w:bCs/>
          <w:sz w:val="32"/>
          <w:szCs w:val="32"/>
          <w:lang w:val="en-US" w:eastAsia="zh-CN"/>
        </w:rPr>
        <w:t>1</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rPr>
        <w:t>《项目结算审计实施方案》：</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rtl w:val="0"/>
          <w:lang w:val="en-US" w:eastAsia="zh-CN"/>
        </w:rPr>
        <w:t>“数智化管控系统项目（一期）”</w:t>
      </w:r>
      <w:r>
        <w:rPr>
          <w:rFonts w:hint="eastAsia" w:ascii="方正仿宋_GBK" w:hAnsi="方正仿宋_GBK" w:eastAsia="方正仿宋_GBK" w:cs="方正仿宋_GBK"/>
          <w:sz w:val="32"/>
          <w:szCs w:val="32"/>
          <w:lang w:val="en-US" w:eastAsia="zh-CN"/>
        </w:rPr>
        <w:t>完成竣工验收，承建方提交全套结算审计资料，且结算</w:t>
      </w:r>
      <w:r>
        <w:rPr>
          <w:rFonts w:hint="eastAsia" w:ascii="方正仿宋_GBK" w:hAnsi="方正仿宋_GBK" w:eastAsia="方正仿宋_GBK" w:cs="方正仿宋_GBK"/>
          <w:sz w:val="32"/>
          <w:szCs w:val="32"/>
        </w:rPr>
        <w:t>审计工作正式启动后【</w:t>
      </w:r>
      <w:r>
        <w:rPr>
          <w:rFonts w:hint="default"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rPr>
        <w:t>个】工作日内提交。内容应包括但不限于项目背景理解、审计目标与范围、审计依据、具体审计内容与方法、项目组织架构与人员分工、详细工作计划</w:t>
      </w:r>
      <w:r>
        <w:rPr>
          <w:rFonts w:hint="default" w:ascii="Times New Roman" w:hAnsi="Times New Roman" w:eastAsia="方正仿宋_GBK" w:cs="Times New Roman"/>
          <w:sz w:val="32"/>
          <w:szCs w:val="32"/>
        </w:rPr>
        <w:t>（WBS</w:t>
      </w:r>
      <w:r>
        <w:rPr>
          <w:rFonts w:hint="eastAsia" w:ascii="方正仿宋_GBK" w:hAnsi="方正仿宋_GBK" w:eastAsia="方正仿宋_GBK" w:cs="方正仿宋_GBK"/>
          <w:sz w:val="32"/>
          <w:szCs w:val="32"/>
        </w:rPr>
        <w:t>）、风险识别与应对措施等。</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eastAsia="zh-CN"/>
        </w:rPr>
        <w:t>（</w:t>
      </w:r>
      <w:r>
        <w:rPr>
          <w:rFonts w:hint="default" w:ascii="Times New Roman" w:hAnsi="Times New Roman" w:eastAsia="方正仿宋_GBK" w:cs="Times New Roman"/>
          <w:b/>
          <w:bCs/>
          <w:sz w:val="32"/>
          <w:szCs w:val="32"/>
          <w:lang w:val="en-US" w:eastAsia="zh-CN"/>
        </w:rPr>
        <w:t>2</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rPr>
        <w:t>《项目结算审计报告（征求意见稿）》：</w:t>
      </w:r>
      <w:r>
        <w:rPr>
          <w:rFonts w:hint="eastAsia" w:ascii="方正仿宋_GBK" w:hAnsi="方正仿宋_GBK" w:eastAsia="方正仿宋_GBK" w:cs="方正仿宋_GBK"/>
          <w:sz w:val="32"/>
          <w:szCs w:val="32"/>
        </w:rPr>
        <w:t>在现场审计工作基本完成后提交。该报告应全面反映初步审计结果，用于向招标人和项目承建方征求意见。招标人及承建方在收到此稿后【</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个】工作日内反馈意见。</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b/>
          <w:bCs/>
          <w:sz w:val="32"/>
          <w:szCs w:val="32"/>
          <w:lang w:eastAsia="zh-CN"/>
        </w:rPr>
        <w:t>（</w:t>
      </w:r>
      <w:r>
        <w:rPr>
          <w:rFonts w:hint="default" w:ascii="Times New Roman" w:hAnsi="Times New Roman" w:eastAsia="方正仿宋_GBK" w:cs="Times New Roman"/>
          <w:b/>
          <w:bCs/>
          <w:sz w:val="32"/>
          <w:szCs w:val="32"/>
          <w:lang w:val="en-US" w:eastAsia="zh-CN"/>
        </w:rPr>
        <w:t>3</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rPr>
        <w:t>《项目结算审计报告》：</w:t>
      </w:r>
      <w:r>
        <w:rPr>
          <w:rFonts w:hint="eastAsia" w:ascii="方正仿宋_GBK" w:hAnsi="方正仿宋_GBK" w:eastAsia="方正仿宋_GBK" w:cs="方正仿宋_GBK"/>
          <w:sz w:val="32"/>
          <w:szCs w:val="32"/>
        </w:rPr>
        <w:t>在收到各方对征求意见稿的反馈意见，并完成所有必要的复核与调整后提交。此为本次审计工作的最终正式成果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应在审计工作启动后【</w:t>
      </w:r>
      <w:r>
        <w:rPr>
          <w:rFonts w:hint="default" w:ascii="Times New Roman" w:hAnsi="Times New Roman" w:eastAsia="方正仿宋_GBK" w:cs="Times New Roman"/>
          <w:sz w:val="32"/>
          <w:szCs w:val="32"/>
          <w:lang w:val="en-US" w:eastAsia="zh-CN"/>
        </w:rPr>
        <w:t>60</w:t>
      </w:r>
      <w:r>
        <w:rPr>
          <w:rFonts w:hint="eastAsia" w:ascii="方正仿宋_GBK" w:hAnsi="方正仿宋_GBK" w:eastAsia="方正仿宋_GBK" w:cs="方正仿宋_GBK"/>
          <w:sz w:val="32"/>
          <w:szCs w:val="32"/>
          <w:lang w:val="en-US" w:eastAsia="zh-CN"/>
        </w:rPr>
        <w:t>个】日历天内完成。</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eastAsia="zh-CN"/>
        </w:rPr>
        <w:t>（</w:t>
      </w:r>
      <w:r>
        <w:rPr>
          <w:rFonts w:hint="default" w:ascii="Times New Roman" w:hAnsi="Times New Roman" w:eastAsia="方正仿宋_GBK" w:cs="Times New Roman"/>
          <w:b/>
          <w:bCs/>
          <w:sz w:val="32"/>
          <w:szCs w:val="32"/>
          <w:lang w:val="en-US" w:eastAsia="zh-CN"/>
        </w:rPr>
        <w:t>4</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rPr>
        <w:t>《审计工作底稿》：</w:t>
      </w:r>
      <w:r>
        <w:rPr>
          <w:rFonts w:hint="eastAsia" w:ascii="方正仿宋_GBK" w:hAnsi="方正仿宋_GBK" w:eastAsia="方正仿宋_GBK" w:cs="方正仿宋_GBK"/>
          <w:sz w:val="32"/>
          <w:szCs w:val="32"/>
        </w:rPr>
        <w:t>在提交最终审计报告时一并移交。工作底稿应完整记录审计计划的执行过程、审计程序的实施情况以及获取的全部审计证据，能够清晰反映审计轨迹，支持审计报告中的各项结论。</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w:t>
      </w:r>
      <w:r>
        <w:rPr>
          <w:rFonts w:hint="default" w:ascii="Times New Roman" w:hAnsi="Times New Roman" w:eastAsia="方正仿宋_GBK" w:cs="Times New Roman"/>
          <w:b/>
          <w:bCs/>
          <w:sz w:val="32"/>
          <w:szCs w:val="32"/>
          <w:lang w:val="en-US" w:eastAsia="zh-CN"/>
        </w:rPr>
        <w:t>5</w:t>
      </w:r>
      <w:r>
        <w:rPr>
          <w:rFonts w:hint="eastAsia" w:ascii="方正仿宋_GBK" w:hAnsi="方正仿宋_GBK" w:eastAsia="方正仿宋_GBK" w:cs="方正仿宋_GBK"/>
          <w:b/>
          <w:bCs/>
          <w:sz w:val="32"/>
          <w:szCs w:val="32"/>
          <w:lang w:val="en-US" w:eastAsia="zh-CN"/>
        </w:rPr>
        <w:t>）《新增功能核价报告》：</w:t>
      </w:r>
      <w:r>
        <w:rPr>
          <w:rFonts w:hint="eastAsia" w:ascii="方正仿宋_GBK" w:hAnsi="方正仿宋_GBK" w:eastAsia="方正仿宋_GBK" w:cs="方正仿宋_GBK"/>
          <w:sz w:val="32"/>
          <w:szCs w:val="32"/>
          <w:lang w:val="en-US" w:eastAsia="zh-CN"/>
        </w:rPr>
        <w:t>在“数智化管控系统项目（一期）”合同双方根据补充协议要求书面确认“新增功能”后【</w:t>
      </w:r>
      <w:r>
        <w:rPr>
          <w:rFonts w:hint="default"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lang w:val="en-US" w:eastAsia="zh-CN"/>
        </w:rPr>
        <w:t>个】工作日内完成，但不早于本项目（结算审计）合同签订后【</w:t>
      </w:r>
      <w:r>
        <w:rPr>
          <w:rFonts w:hint="default"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lang w:val="en-US" w:eastAsia="zh-CN"/>
        </w:rPr>
        <w:t>个】工作日。</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w:t>
      </w:r>
      <w:r>
        <w:rPr>
          <w:rFonts w:hint="default" w:ascii="Times New Roman" w:hAnsi="Times New Roman" w:eastAsia="方正仿宋_GBK" w:cs="Times New Roman"/>
          <w:b/>
          <w:bCs/>
          <w:sz w:val="32"/>
          <w:szCs w:val="32"/>
          <w:lang w:val="en-US" w:eastAsia="zh-CN"/>
        </w:rPr>
        <w:t>6</w:t>
      </w:r>
      <w:r>
        <w:rPr>
          <w:rFonts w:hint="eastAsia" w:ascii="方正仿宋_GBK" w:hAnsi="方正仿宋_GBK" w:eastAsia="方正仿宋_GBK" w:cs="方正仿宋_GBK"/>
          <w:b/>
          <w:bCs/>
          <w:sz w:val="32"/>
          <w:szCs w:val="32"/>
          <w:lang w:val="en-US" w:eastAsia="zh-CN"/>
        </w:rPr>
        <w:t>）《质保期程序修改或升级工作量核定报告》：</w:t>
      </w:r>
      <w:r>
        <w:rPr>
          <w:rFonts w:hint="eastAsia" w:ascii="方正仿宋_GBK" w:hAnsi="方正仿宋_GBK" w:eastAsia="方正仿宋_GBK" w:cs="方正仿宋_GBK"/>
          <w:sz w:val="32"/>
          <w:szCs w:val="32"/>
          <w:lang w:val="en-US" w:eastAsia="zh-CN"/>
        </w:rPr>
        <w:t>在本项目（结算审计）合同签订后【</w:t>
      </w:r>
      <w:r>
        <w:rPr>
          <w:rFonts w:hint="default" w:ascii="Times New Roman" w:hAnsi="Times New Roman" w:eastAsia="方正仿宋_GBK" w:cs="Times New Roman"/>
          <w:sz w:val="32"/>
          <w:szCs w:val="32"/>
          <w:lang w:val="en-US" w:eastAsia="zh-CN"/>
        </w:rPr>
        <w:t>20</w:t>
      </w:r>
      <w:r>
        <w:rPr>
          <w:rFonts w:hint="eastAsia" w:ascii="方正仿宋_GBK" w:hAnsi="方正仿宋_GBK" w:eastAsia="方正仿宋_GBK" w:cs="方正仿宋_GBK"/>
          <w:sz w:val="32"/>
          <w:szCs w:val="32"/>
          <w:lang w:val="en-US" w:eastAsia="zh-CN"/>
        </w:rPr>
        <w:t>个】工作日完成。</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上述两份专项报告（《新增功能核价报告》、《质保期程序修改或升级工作量核定报告》）的结论，应作为最终《项目结算审计报告》的重要附件和支撑材料。</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仿宋_GBK" w:hAnsi="方正仿宋_GBK" w:eastAsia="方正仿宋_GBK" w:cs="方正仿宋_GBK"/>
          <w:b/>
          <w:bCs/>
          <w:sz w:val="32"/>
          <w:szCs w:val="32"/>
        </w:rPr>
      </w:pPr>
      <w:r>
        <w:rPr>
          <w:rFonts w:hint="default" w:ascii="Times New Roman" w:hAnsi="Times New Roman" w:eastAsia="方正仿宋_GBK" w:cs="Times New Roman"/>
          <w:b/>
          <w:bCs/>
          <w:sz w:val="32"/>
          <w:szCs w:val="32"/>
          <w:lang w:val="en-US" w:eastAsia="zh-CN"/>
        </w:rPr>
        <w:t>3.</w:t>
      </w:r>
      <w:r>
        <w:rPr>
          <w:rFonts w:hint="eastAsia" w:ascii="方正仿宋_GBK" w:hAnsi="方正仿宋_GBK" w:eastAsia="方正仿宋_GBK" w:cs="方正仿宋_GBK"/>
          <w:b/>
          <w:bCs/>
          <w:sz w:val="32"/>
          <w:szCs w:val="32"/>
        </w:rPr>
        <w:t>其他要求</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eastAsia" w:ascii="方正仿宋_GBK" w:hAnsi="方正仿宋_GBK" w:eastAsia="方正仿宋_GBK" w:cs="方正仿宋_GBK"/>
          <w:sz w:val="32"/>
          <w:szCs w:val="32"/>
        </w:rPr>
        <w:t>比选申请人应保证所提供的服务或其任何一部分均不会侵犯任何第三方的专利权、商标权或著作权。</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eastAsia" w:ascii="方正仿宋_GBK" w:hAnsi="方正仿宋_GBK" w:eastAsia="方正仿宋_GBK" w:cs="方正仿宋_GBK"/>
          <w:sz w:val="32"/>
          <w:szCs w:val="32"/>
        </w:rPr>
        <w:t>比选申请人派出人员如与审计对象存在以下利害关系的，应主动向采购人反映并申请回避：</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①与被审计单位负责人或者有关主管人员有夫妻关系、直系血亲关系、三代以内旁系血亲或者近姻亲关系的；</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②与被审计单位或者审计事项有直接经济利益关系；</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③对曾经管理或者直接办理过的相关业务进行审计；</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④可能损害审计独立性的其他情形。</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3</w:t>
      </w:r>
      <w:r>
        <w:rPr>
          <w:rFonts w:hint="eastAsia" w:ascii="方正仿宋_GBK" w:hAnsi="方正仿宋_GBK" w:eastAsia="方正仿宋_GBK" w:cs="方正仿宋_GBK"/>
          <w:sz w:val="32"/>
          <w:szCs w:val="32"/>
          <w:highlight w:val="none"/>
          <w:lang w:val="en-US" w:eastAsia="zh-CN"/>
        </w:rPr>
        <w:t>）本次服务采购采用总价包干形式，供应商的投标报价应已包含为完成本项目全部服务内容所需的一切费用，包括但不限于服务费、人工费、管理费、利润、税金等。合同签订后，除采购人书面同意增加服务范围外，合同总价不作调整。</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4</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比选申请人须根据项目需要及采购人要求，必要时增加相关设施设备、人员力量，以确保按时保质完成审计工作。</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eastAsia" w:ascii="方正仿宋_GBK" w:hAnsi="方正仿宋_GBK" w:eastAsia="方正仿宋_GBK" w:cs="方正仿宋_GBK"/>
          <w:sz w:val="32"/>
          <w:szCs w:val="32"/>
        </w:rPr>
        <w:t>比选申请人须对本项目涉及的工程技术文件以及由采购人提供的所有内部资料、技术文档和信息予以保密，未经采购人书面许可，比选申请人不得以任何形式向第三方透露本期项目的任何内容。</w:t>
      </w:r>
    </w:p>
    <w:p>
      <w:pPr>
        <w:pStyle w:val="4"/>
        <w:pageBreakBefore w:val="0"/>
        <w:widowControl w:val="0"/>
        <w:wordWrap/>
        <w:topLinePunct w:val="0"/>
        <w:bidi w:val="0"/>
        <w:spacing w:line="600" w:lineRule="exact"/>
        <w:ind w:firstLine="640" w:firstLineChars="200"/>
        <w:jc w:val="left"/>
        <w:textAlignment w:val="auto"/>
        <w:rPr>
          <w:rFonts w:hint="eastAsia" w:ascii="方正黑体_GBK" w:hAnsi="方正黑体_GBK" w:eastAsia="方正黑体_GBK" w:cs="方正黑体_GBK"/>
          <w:b w:val="0"/>
          <w:bCs w:val="0"/>
          <w:sz w:val="32"/>
          <w:szCs w:val="32"/>
        </w:rPr>
      </w:pPr>
      <w:bookmarkStart w:id="33" w:name="_Toc26438"/>
      <w:bookmarkStart w:id="34" w:name="_Toc344475122"/>
      <w:bookmarkStart w:id="35" w:name="_Toc23134"/>
      <w:bookmarkStart w:id="36" w:name="_Toc76462330"/>
      <w:r>
        <w:rPr>
          <w:rFonts w:hint="eastAsia" w:ascii="方正黑体_GBK" w:hAnsi="方正黑体_GBK" w:eastAsia="方正黑体_GBK" w:cs="方正黑体_GBK"/>
          <w:b w:val="0"/>
          <w:bCs w:val="0"/>
          <w:sz w:val="32"/>
          <w:szCs w:val="32"/>
          <w:lang w:eastAsia="zh-CN"/>
        </w:rPr>
        <w:t>四</w:t>
      </w:r>
      <w:r>
        <w:rPr>
          <w:rFonts w:hint="eastAsia" w:ascii="方正黑体_GBK" w:hAnsi="方正黑体_GBK" w:eastAsia="方正黑体_GBK" w:cs="方正黑体_GBK"/>
          <w:b w:val="0"/>
          <w:bCs w:val="0"/>
          <w:sz w:val="32"/>
          <w:szCs w:val="32"/>
        </w:rPr>
        <w:t>、付款方式</w:t>
      </w:r>
      <w:bookmarkEnd w:id="33"/>
      <w:bookmarkEnd w:id="34"/>
      <w:bookmarkEnd w:id="35"/>
      <w:bookmarkEnd w:id="36"/>
    </w:p>
    <w:p>
      <w:pPr>
        <w:pageBreakBefore w:val="0"/>
        <w:kinsoku/>
        <w:wordWrap/>
        <w:overflowPunct/>
        <w:topLinePunct w:val="0"/>
        <w:autoSpaceDE/>
        <w:autoSpaceDN/>
        <w:bidi w:val="0"/>
        <w:snapToGrid w:val="0"/>
        <w:spacing w:line="600" w:lineRule="exact"/>
        <w:ind w:firstLine="640" w:firstLineChars="200"/>
        <w:textAlignment w:val="auto"/>
        <w:rPr>
          <w:rFonts w:hint="eastAsia" w:ascii="方正仿宋_GBK" w:hAnsi="方正仿宋_GBK" w:eastAsia="方正仿宋_GBK" w:cs="方正仿宋_GBK"/>
          <w:sz w:val="32"/>
          <w:szCs w:val="32"/>
        </w:rPr>
      </w:pPr>
      <w:bookmarkStart w:id="37" w:name="_Toc8175"/>
      <w:r>
        <w:rPr>
          <w:rFonts w:hint="eastAsia" w:ascii="方正仿宋_GBK" w:hAnsi="方正仿宋_GBK" w:eastAsia="方正仿宋_GBK" w:cs="方正仿宋_GBK"/>
          <w:sz w:val="32"/>
          <w:szCs w:val="32"/>
        </w:rPr>
        <w:t>本合同所涉的费用分</w:t>
      </w:r>
      <w:r>
        <w:rPr>
          <w:rFonts w:hint="eastAsia" w:ascii="方正仿宋_GBK" w:hAnsi="方正仿宋_GBK" w:eastAsia="方正仿宋_GBK" w:cs="方正仿宋_GBK"/>
          <w:sz w:val="32"/>
          <w:szCs w:val="32"/>
          <w:lang w:val="en-US" w:eastAsia="zh-CN"/>
        </w:rPr>
        <w:t>两次</w:t>
      </w:r>
      <w:r>
        <w:rPr>
          <w:rFonts w:hint="eastAsia" w:ascii="方正仿宋_GBK" w:hAnsi="方正仿宋_GBK" w:eastAsia="方正仿宋_GBK" w:cs="方正仿宋_GBK"/>
          <w:sz w:val="32"/>
          <w:szCs w:val="32"/>
        </w:rPr>
        <w:t>支付，甲方收到乙方开具相应金额增值税专用发票作为每次进度款支付的前提条件</w:t>
      </w:r>
      <w:r>
        <w:rPr>
          <w:rFonts w:hint="eastAsia" w:ascii="方正仿宋_GBK" w:hAnsi="方正仿宋_GBK" w:eastAsia="方正仿宋_GBK" w:cs="方正仿宋_GBK"/>
          <w:sz w:val="32"/>
          <w:szCs w:val="32"/>
          <w:lang w:eastAsia="zh-CN"/>
        </w:rPr>
        <w:t>之一</w:t>
      </w:r>
      <w:r>
        <w:rPr>
          <w:rFonts w:hint="eastAsia" w:ascii="方正仿宋_GBK" w:hAnsi="方正仿宋_GBK" w:eastAsia="方正仿宋_GBK" w:cs="方正仿宋_GBK"/>
          <w:sz w:val="32"/>
          <w:szCs w:val="32"/>
        </w:rPr>
        <w:t>，如因乙方原因未开具发票而导致付款延迟，甲方不承担任何责任。</w:t>
      </w:r>
    </w:p>
    <w:p>
      <w:pPr>
        <w:pageBreakBefore w:val="0"/>
        <w:kinsoku/>
        <w:wordWrap/>
        <w:overflowPunct/>
        <w:topLinePunct w:val="0"/>
        <w:autoSpaceDE/>
        <w:autoSpaceDN/>
        <w:bidi w:val="0"/>
        <w:snapToGrid w:val="0"/>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支付形式:转账</w:t>
      </w:r>
      <w:r>
        <w:rPr>
          <w:rFonts w:hint="eastAsia" w:ascii="方正仿宋_GBK" w:hAnsi="方正仿宋_GBK" w:eastAsia="方正仿宋_GBK" w:cs="方正仿宋_GBK"/>
          <w:sz w:val="32"/>
          <w:szCs w:val="32"/>
          <w:lang w:eastAsia="zh-CN"/>
        </w:rPr>
        <w:t>；</w:t>
      </w:r>
    </w:p>
    <w:p>
      <w:pPr>
        <w:pageBreakBefore w:val="0"/>
        <w:kinsoku/>
        <w:wordWrap/>
        <w:overflowPunct/>
        <w:topLinePunct w:val="0"/>
        <w:autoSpaceDE/>
        <w:autoSpaceDN/>
        <w:bidi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第一次付款：合同签订后的</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0</w:t>
      </w:r>
      <w:r>
        <w:rPr>
          <w:rFonts w:hint="eastAsia" w:ascii="方正仿宋_GBK" w:hAnsi="方正仿宋_GBK" w:eastAsia="方正仿宋_GBK" w:cs="方正仿宋_GBK"/>
          <w:sz w:val="32"/>
          <w:szCs w:val="32"/>
        </w:rPr>
        <w:t>个工作日内支付合同总价的</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0%</w:t>
      </w:r>
      <w:r>
        <w:rPr>
          <w:rFonts w:hint="eastAsia" w:ascii="方正仿宋_GBK" w:hAnsi="方正仿宋_GBK" w:eastAsia="方正仿宋_GBK" w:cs="方正仿宋_GBK"/>
          <w:sz w:val="32"/>
          <w:szCs w:val="32"/>
        </w:rPr>
        <w:t>；</w:t>
      </w:r>
    </w:p>
    <w:p>
      <w:pPr>
        <w:pageBreakBefore w:val="0"/>
        <w:kinsoku/>
        <w:wordWrap/>
        <w:overflowPunct/>
        <w:topLinePunct w:val="0"/>
        <w:autoSpaceDE/>
        <w:autoSpaceDN/>
        <w:bidi w:val="0"/>
        <w:snapToGrid w:val="0"/>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第二次付款：甲方收到乙方提供的</w:t>
      </w:r>
      <w:r>
        <w:rPr>
          <w:rFonts w:hint="eastAsia" w:ascii="方正仿宋_GBK" w:hAnsi="方正仿宋_GBK" w:eastAsia="方正仿宋_GBK" w:cs="方正仿宋_GBK"/>
          <w:sz w:val="32"/>
          <w:szCs w:val="32"/>
          <w:lang w:eastAsia="zh-CN"/>
        </w:rPr>
        <w:t>正式《项目结算审计报告》</w:t>
      </w:r>
      <w:r>
        <w:rPr>
          <w:rFonts w:hint="eastAsia" w:ascii="方正仿宋_GBK" w:hAnsi="方正仿宋_GBK" w:eastAsia="方正仿宋_GBK" w:cs="方正仿宋_GBK"/>
          <w:sz w:val="32"/>
          <w:szCs w:val="32"/>
          <w:lang w:val="en-US" w:eastAsia="zh-CN"/>
        </w:rPr>
        <w:t>及其他相关文件</w:t>
      </w:r>
      <w:r>
        <w:rPr>
          <w:rFonts w:hint="eastAsia" w:ascii="方正仿宋_GBK" w:hAnsi="方正仿宋_GBK" w:eastAsia="方正仿宋_GBK" w:cs="方正仿宋_GBK"/>
          <w:sz w:val="32"/>
          <w:szCs w:val="32"/>
          <w:lang w:eastAsia="zh-CN"/>
        </w:rPr>
        <w:t>盖章</w:t>
      </w:r>
      <w:r>
        <w:rPr>
          <w:rFonts w:hint="eastAsia" w:ascii="方正仿宋_GBK" w:hAnsi="方正仿宋_GBK" w:eastAsia="方正仿宋_GBK" w:cs="方正仿宋_GBK"/>
          <w:sz w:val="32"/>
          <w:szCs w:val="32"/>
        </w:rPr>
        <w:t>纸质版</w:t>
      </w:r>
      <w:r>
        <w:rPr>
          <w:rFonts w:hint="eastAsia" w:ascii="方正仿宋_GBK" w:hAnsi="方正仿宋_GBK" w:eastAsia="方正仿宋_GBK" w:cs="方正仿宋_GBK"/>
          <w:sz w:val="32"/>
          <w:szCs w:val="32"/>
          <w:lang w:eastAsia="zh-CN"/>
        </w:rPr>
        <w:t>及电子版，并书面</w:t>
      </w:r>
      <w:r>
        <w:rPr>
          <w:rFonts w:hint="eastAsia" w:ascii="方正仿宋_GBK" w:hAnsi="方正仿宋_GBK" w:eastAsia="方正仿宋_GBK" w:cs="方正仿宋_GBK"/>
          <w:sz w:val="32"/>
          <w:szCs w:val="32"/>
          <w:lang w:val="en-US" w:eastAsia="zh-CN"/>
        </w:rPr>
        <w:t>认可</w:t>
      </w:r>
      <w:r>
        <w:rPr>
          <w:rFonts w:hint="eastAsia" w:ascii="方正仿宋_GBK" w:hAnsi="方正仿宋_GBK" w:eastAsia="方正仿宋_GBK" w:cs="方正仿宋_GBK"/>
          <w:sz w:val="32"/>
          <w:szCs w:val="32"/>
          <w:lang w:eastAsia="zh-CN"/>
        </w:rPr>
        <w:t>之后</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个工作日内支付</w:t>
      </w:r>
      <w:r>
        <w:rPr>
          <w:rFonts w:hint="eastAsia" w:ascii="方正仿宋_GBK" w:hAnsi="方正仿宋_GBK" w:eastAsia="方正仿宋_GBK" w:cs="方正仿宋_GBK"/>
          <w:sz w:val="32"/>
          <w:szCs w:val="32"/>
          <w:lang w:val="en-US" w:eastAsia="zh-CN"/>
        </w:rPr>
        <w:t>合同剩余款项</w:t>
      </w:r>
      <w:r>
        <w:rPr>
          <w:rFonts w:hint="eastAsia" w:ascii="方正仿宋_GBK" w:hAnsi="方正仿宋_GBK" w:eastAsia="方正仿宋_GBK" w:cs="方正仿宋_GBK"/>
          <w:sz w:val="32"/>
          <w:szCs w:val="32"/>
          <w:lang w:eastAsia="zh-CN"/>
        </w:rPr>
        <w:t>。</w:t>
      </w:r>
    </w:p>
    <w:p>
      <w:pPr>
        <w:pStyle w:val="4"/>
        <w:pageBreakBefore w:val="0"/>
        <w:widowControl w:val="0"/>
        <w:wordWrap/>
        <w:topLinePunct w:val="0"/>
        <w:bidi w:val="0"/>
        <w:spacing w:line="600" w:lineRule="exact"/>
        <w:ind w:firstLine="640" w:firstLineChars="200"/>
        <w:jc w:val="left"/>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五</w:t>
      </w:r>
      <w:r>
        <w:rPr>
          <w:rFonts w:hint="eastAsia" w:ascii="方正黑体_GBK" w:hAnsi="方正黑体_GBK" w:eastAsia="方正黑体_GBK" w:cs="方正黑体_GBK"/>
          <w:b w:val="0"/>
          <w:bCs w:val="0"/>
          <w:sz w:val="32"/>
          <w:szCs w:val="32"/>
        </w:rPr>
        <w:t>、知识产权</w:t>
      </w:r>
      <w:bookmarkEnd w:id="37"/>
    </w:p>
    <w:p>
      <w:pPr>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（一）采购人在中华人民共和国境内使用成交供应商提供的服务时免受第三方提出的侵犯其专利权或其它知识产权的起诉。如果第三方提出侵权指控，成交供应商应承担由此而引起的一切法律责任和费用。</w:t>
      </w:r>
    </w:p>
    <w:p>
      <w:pPr>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eastAsia="宋体" w:cs="宋体"/>
        </w:rPr>
      </w:pPr>
      <w:r>
        <w:rPr>
          <w:rFonts w:hint="eastAsia" w:ascii="方正仿宋_GBK" w:hAnsi="方正仿宋_GBK" w:eastAsia="方正仿宋_GBK" w:cs="方正仿宋_GBK"/>
          <w:sz w:val="32"/>
          <w:szCs w:val="32"/>
        </w:rPr>
        <w:t>（二）服务期间所形成的数据及各类成果文件的知识产权归采购人所有。</w:t>
      </w:r>
      <w:r>
        <w:rPr>
          <w:rFonts w:hint="eastAsia"/>
        </w:rPr>
        <w:br w:type="page"/>
      </w:r>
    </w:p>
    <w:p>
      <w:pPr>
        <w:pStyle w:val="2"/>
        <w:numPr>
          <w:ilvl w:val="0"/>
          <w:numId w:val="14"/>
        </w:numPr>
        <w:jc w:val="center"/>
        <w:rPr>
          <w:rFonts w:hint="eastAsia" w:ascii="方正小标宋_GBK" w:hAnsi="方正小标宋_GBK" w:eastAsia="方正小标宋_GBK" w:cs="方正小标宋_GBK"/>
          <w:b/>
          <w:bCs/>
          <w:kern w:val="0"/>
          <w:sz w:val="44"/>
          <w:szCs w:val="44"/>
        </w:rPr>
      </w:pPr>
      <w:r>
        <w:rPr>
          <w:rFonts w:hint="eastAsia" w:ascii="方正小标宋_GBK" w:hAnsi="方正小标宋_GBK" w:eastAsia="方正小标宋_GBK" w:cs="方正小标宋_GBK"/>
          <w:b/>
          <w:bCs/>
          <w:kern w:val="0"/>
          <w:sz w:val="44"/>
          <w:szCs w:val="44"/>
        </w:rPr>
        <w:t>比选程序及方法、评审标准、响应无效和采购终止</w:t>
      </w:r>
    </w:p>
    <w:p>
      <w:pPr>
        <w:pStyle w:val="4"/>
        <w:pageBreakBefore w:val="0"/>
        <w:widowControl w:val="0"/>
        <w:wordWrap/>
        <w:topLinePunct w:val="0"/>
        <w:bidi w:val="0"/>
        <w:spacing w:line="600" w:lineRule="exact"/>
        <w:ind w:firstLine="643" w:firstLineChars="200"/>
        <w:jc w:val="left"/>
        <w:textAlignment w:val="auto"/>
        <w:rPr>
          <w:rFonts w:hint="eastAsia" w:ascii="方正黑体_GBK" w:hAnsi="方正黑体_GBK" w:eastAsia="方正黑体_GBK" w:cs="方正黑体_GBK"/>
          <w:sz w:val="32"/>
          <w:szCs w:val="32"/>
        </w:rPr>
      </w:pPr>
      <w:bookmarkStart w:id="38" w:name="_Toc13797"/>
      <w:bookmarkEnd w:id="38"/>
      <w:bookmarkStart w:id="39" w:name="_Toc15991"/>
      <w:bookmarkEnd w:id="39"/>
      <w:bookmarkStart w:id="40" w:name="_Toc348"/>
      <w:bookmarkEnd w:id="40"/>
      <w:bookmarkStart w:id="41" w:name="_Toc23603"/>
      <w:r>
        <w:rPr>
          <w:rFonts w:hint="eastAsia" w:ascii="方正黑体_GBK" w:hAnsi="方正黑体_GBK" w:eastAsia="方正黑体_GBK" w:cs="方正黑体_GBK"/>
          <w:sz w:val="32"/>
          <w:szCs w:val="32"/>
        </w:rPr>
        <w:t>一、比选程序及方法</w:t>
      </w:r>
      <w:bookmarkEnd w:id="41"/>
    </w:p>
    <w:p>
      <w:pPr>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（一）比选按比选文件规定的开标时间和地点进行。</w:t>
      </w:r>
    </w:p>
    <w:p>
      <w:pPr>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（二）比选小组对各供应商的资格条件、响应文件的有效性、完整性和响应程度进行审查。各供应商只有在完全符合要求的前提下，才能参与正式比选。</w:t>
      </w:r>
    </w:p>
    <w:p>
      <w:pPr>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资格性检查。依据法律法规和比选文件的规定，对响应文件中的资格证明、进行审查，以确定供应商是否具备比选资格。资格性检查资料表如下：</w:t>
      </w:r>
    </w:p>
    <w:tbl>
      <w:tblPr>
        <w:tblStyle w:val="63"/>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09"/>
        <w:gridCol w:w="4246"/>
        <w:gridCol w:w="3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34" w:type="dxa"/>
            <w:noWrap w:val="0"/>
            <w:vAlign w:val="center"/>
          </w:tcPr>
          <w:p>
            <w:pPr>
              <w:kinsoku w:val="0"/>
              <w:autoSpaceDE w:val="0"/>
              <w:autoSpaceDN w:val="0"/>
              <w:adjustRightInd w:val="0"/>
              <w:snapToGrid w:val="0"/>
              <w:spacing w:line="360" w:lineRule="auto"/>
              <w:jc w:val="center"/>
              <w:rPr>
                <w:rFonts w:hint="eastAsia" w:ascii="方正楷体_GBK" w:hAnsi="方正楷体_GBK" w:eastAsia="方正楷体_GBK" w:cs="方正楷体_GBK"/>
                <w:b/>
                <w:bCs w:val="0"/>
              </w:rPr>
            </w:pPr>
            <w:r>
              <w:rPr>
                <w:rFonts w:hint="eastAsia" w:ascii="方正楷体_GBK" w:hAnsi="方正楷体_GBK" w:eastAsia="方正楷体_GBK" w:cs="方正楷体_GBK"/>
                <w:b/>
                <w:bCs w:val="0"/>
              </w:rPr>
              <w:t>序号</w:t>
            </w:r>
          </w:p>
        </w:tc>
        <w:tc>
          <w:tcPr>
            <w:tcW w:w="4955" w:type="dxa"/>
            <w:gridSpan w:val="2"/>
            <w:noWrap w:val="0"/>
            <w:vAlign w:val="center"/>
          </w:tcPr>
          <w:p>
            <w:pPr>
              <w:kinsoku w:val="0"/>
              <w:autoSpaceDE w:val="0"/>
              <w:autoSpaceDN w:val="0"/>
              <w:adjustRightInd w:val="0"/>
              <w:snapToGrid w:val="0"/>
              <w:spacing w:line="360" w:lineRule="auto"/>
              <w:jc w:val="center"/>
              <w:rPr>
                <w:rFonts w:hint="eastAsia" w:ascii="方正楷体_GBK" w:hAnsi="方正楷体_GBK" w:eastAsia="方正楷体_GBK" w:cs="方正楷体_GBK"/>
                <w:b/>
                <w:bCs w:val="0"/>
              </w:rPr>
            </w:pPr>
            <w:r>
              <w:rPr>
                <w:rFonts w:hint="eastAsia" w:ascii="方正楷体_GBK" w:hAnsi="方正楷体_GBK" w:eastAsia="方正楷体_GBK" w:cs="方正楷体_GBK"/>
                <w:b/>
                <w:bCs w:val="0"/>
              </w:rPr>
              <w:t>检查因素</w:t>
            </w:r>
          </w:p>
        </w:tc>
        <w:tc>
          <w:tcPr>
            <w:tcW w:w="3809" w:type="dxa"/>
            <w:noWrap w:val="0"/>
            <w:vAlign w:val="center"/>
          </w:tcPr>
          <w:p>
            <w:pPr>
              <w:kinsoku w:val="0"/>
              <w:autoSpaceDE w:val="0"/>
              <w:autoSpaceDN w:val="0"/>
              <w:adjustRightInd w:val="0"/>
              <w:snapToGrid w:val="0"/>
              <w:spacing w:line="360" w:lineRule="auto"/>
              <w:jc w:val="center"/>
              <w:rPr>
                <w:rFonts w:hint="eastAsia" w:ascii="方正楷体_GBK" w:hAnsi="方正楷体_GBK" w:eastAsia="方正楷体_GBK" w:cs="方正楷体_GBK"/>
                <w:b/>
                <w:bCs w:val="0"/>
              </w:rPr>
            </w:pPr>
            <w:r>
              <w:rPr>
                <w:rFonts w:hint="eastAsia" w:ascii="方正楷体_GBK" w:hAnsi="方正楷体_GBK" w:eastAsia="方正楷体_GBK" w:cs="方正楷体_GBK"/>
                <w:b/>
                <w:bCs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pPr>
              <w:kinsoku w:val="0"/>
              <w:autoSpaceDE w:val="0"/>
              <w:autoSpaceDN w:val="0"/>
              <w:adjustRightInd w:val="0"/>
              <w:snapToGrid w:val="0"/>
              <w:spacing w:line="360" w:lineRule="auto"/>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709" w:type="dxa"/>
            <w:vMerge w:val="restart"/>
            <w:noWrap w:val="0"/>
            <w:vAlign w:val="center"/>
          </w:tcPr>
          <w:p>
            <w:pPr>
              <w:kinsoku w:val="0"/>
              <w:autoSpaceDE w:val="0"/>
              <w:autoSpaceDN w:val="0"/>
              <w:adjustRightInd w:val="0"/>
              <w:snapToGrid w:val="0"/>
              <w:spacing w:line="360" w:lineRule="auto"/>
              <w:jc w:val="center"/>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供应商应符合的基本资格条件</w:t>
            </w:r>
          </w:p>
        </w:tc>
        <w:tc>
          <w:tcPr>
            <w:tcW w:w="4246" w:type="dxa"/>
            <w:noWrap w:val="0"/>
            <w:vAlign w:val="center"/>
          </w:tcPr>
          <w:p>
            <w:pPr>
              <w:kinsoku w:val="0"/>
              <w:autoSpaceDE w:val="0"/>
              <w:autoSpaceDN w:val="0"/>
              <w:adjustRightInd w:val="0"/>
              <w:snapToGrid w:val="0"/>
              <w:spacing w:line="360" w:lineRule="auto"/>
              <w:jc w:val="lef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具有独立法人资格</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且其营业执照经营范围包含“工程</w:t>
            </w:r>
            <w:r>
              <w:rPr>
                <w:rFonts w:hint="eastAsia" w:ascii="方正仿宋_GBK" w:hAnsi="方正仿宋_GBK" w:eastAsia="方正仿宋_GBK" w:cs="方正仿宋_GBK"/>
                <w:sz w:val="24"/>
                <w:szCs w:val="24"/>
                <w:highlight w:val="none"/>
                <w:lang w:eastAsia="zh-CN"/>
              </w:rPr>
              <w:t>核价</w:t>
            </w:r>
            <w:r>
              <w:rPr>
                <w:rFonts w:hint="eastAsia" w:ascii="方正仿宋_GBK" w:hAnsi="方正仿宋_GBK" w:eastAsia="方正仿宋_GBK" w:cs="方正仿宋_GBK"/>
                <w:sz w:val="24"/>
                <w:szCs w:val="24"/>
                <w:highlight w:val="none"/>
              </w:rPr>
              <w:t>咨询”或“信息技术咨询服务”或“审计服务”等相关内容；</w:t>
            </w:r>
          </w:p>
        </w:tc>
        <w:tc>
          <w:tcPr>
            <w:tcW w:w="3809" w:type="dxa"/>
            <w:noWrap w:val="0"/>
            <w:vAlign w:val="center"/>
          </w:tcPr>
          <w:p>
            <w:pPr>
              <w:kinsoku w:val="0"/>
              <w:autoSpaceDE w:val="0"/>
              <w:autoSpaceDN w:val="0"/>
              <w:adjustRightInd w:val="0"/>
              <w:snapToGrid w:val="0"/>
              <w:spacing w:line="360" w:lineRule="auto"/>
              <w:jc w:val="left"/>
              <w:rPr>
                <w:rFonts w:hint="eastAsia" w:ascii="方正仿宋_GBK" w:hAnsi="方正仿宋_GBK" w:eastAsia="方正仿宋_GBK" w:cs="方正仿宋_GBK"/>
                <w:sz w:val="24"/>
                <w:szCs w:val="24"/>
                <w:highlight w:val="none"/>
              </w:rPr>
            </w:pPr>
            <w:r>
              <w:rPr>
                <w:rFonts w:hint="default" w:ascii="Times New Roman" w:hAnsi="Times New Roman" w:eastAsia="方正仿宋_GBK" w:cs="Times New Roman"/>
                <w:sz w:val="24"/>
                <w:szCs w:val="24"/>
                <w:highlight w:val="none"/>
              </w:rPr>
              <w:t>1.</w:t>
            </w:r>
            <w:r>
              <w:rPr>
                <w:rFonts w:hint="eastAsia" w:ascii="方正仿宋_GBK" w:hAnsi="方正仿宋_GBK" w:eastAsia="方正仿宋_GBK" w:cs="方正仿宋_GBK"/>
                <w:sz w:val="24"/>
                <w:szCs w:val="24"/>
                <w:highlight w:val="none"/>
              </w:rPr>
              <w:t>供应商法人营业执照（副本）或事业单位法人证书（副本）或社会团体法人登记证书复印件。</w:t>
            </w:r>
          </w:p>
          <w:p>
            <w:pPr>
              <w:kinsoku w:val="0"/>
              <w:autoSpaceDE w:val="0"/>
              <w:autoSpaceDN w:val="0"/>
              <w:adjustRightInd w:val="0"/>
              <w:snapToGrid w:val="0"/>
              <w:spacing w:line="360" w:lineRule="auto"/>
              <w:jc w:val="left"/>
              <w:rPr>
                <w:rFonts w:hint="eastAsia" w:ascii="方正仿宋_GBK" w:hAnsi="方正仿宋_GBK" w:eastAsia="方正仿宋_GBK" w:cs="方正仿宋_GBK"/>
                <w:sz w:val="24"/>
                <w:szCs w:val="24"/>
                <w:highlight w:val="none"/>
              </w:rPr>
            </w:pPr>
            <w:r>
              <w:rPr>
                <w:rFonts w:hint="default" w:ascii="Times New Roman" w:hAnsi="Times New Roman" w:eastAsia="方正仿宋_GBK" w:cs="Times New Roman"/>
                <w:sz w:val="24"/>
                <w:szCs w:val="24"/>
                <w:highlight w:val="none"/>
              </w:rPr>
              <w:t>2.</w:t>
            </w:r>
            <w:r>
              <w:rPr>
                <w:rFonts w:hint="eastAsia" w:ascii="方正仿宋_GBK" w:hAnsi="方正仿宋_GBK" w:eastAsia="方正仿宋_GBK" w:cs="方正仿宋_GBK"/>
                <w:sz w:val="24"/>
                <w:szCs w:val="24"/>
                <w:highlight w:val="none"/>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34" w:type="dxa"/>
            <w:noWrap w:val="0"/>
            <w:vAlign w:val="center"/>
          </w:tcPr>
          <w:p>
            <w:pPr>
              <w:kinsoku w:val="0"/>
              <w:autoSpaceDE w:val="0"/>
              <w:autoSpaceDN w:val="0"/>
              <w:adjustRightInd w:val="0"/>
              <w:snapToGrid w:val="0"/>
              <w:spacing w:line="360" w:lineRule="auto"/>
              <w:jc w:val="center"/>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w:t>
            </w:r>
          </w:p>
        </w:tc>
        <w:tc>
          <w:tcPr>
            <w:tcW w:w="709" w:type="dxa"/>
            <w:vMerge w:val="continue"/>
            <w:noWrap w:val="0"/>
            <w:vAlign w:val="center"/>
          </w:tcPr>
          <w:p>
            <w:pPr>
              <w:kinsoku w:val="0"/>
              <w:autoSpaceDE w:val="0"/>
              <w:autoSpaceDN w:val="0"/>
              <w:adjustRightInd w:val="0"/>
              <w:snapToGrid w:val="0"/>
              <w:spacing w:line="360" w:lineRule="auto"/>
              <w:jc w:val="center"/>
              <w:rPr>
                <w:rFonts w:hint="eastAsia" w:ascii="方正仿宋_GBK" w:hAnsi="方正仿宋_GBK" w:eastAsia="方正仿宋_GBK" w:cs="方正仿宋_GBK"/>
                <w:sz w:val="24"/>
                <w:szCs w:val="24"/>
                <w:lang w:val="zh-CN"/>
              </w:rPr>
            </w:pPr>
          </w:p>
        </w:tc>
        <w:tc>
          <w:tcPr>
            <w:tcW w:w="4246" w:type="dxa"/>
            <w:noWrap w:val="0"/>
            <w:vAlign w:val="center"/>
          </w:tcPr>
          <w:p>
            <w:pPr>
              <w:kinsoku w:val="0"/>
              <w:autoSpaceDE w:val="0"/>
              <w:autoSpaceDN w:val="0"/>
              <w:adjustRightInd w:val="0"/>
              <w:snapToGrid w:val="0"/>
              <w:spacing w:line="360" w:lineRule="auto"/>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具有良好的商业信誉和健全的财务会计制度</w:t>
            </w:r>
          </w:p>
        </w:tc>
        <w:tc>
          <w:tcPr>
            <w:tcW w:w="3809" w:type="dxa"/>
            <w:vMerge w:val="restart"/>
            <w:noWrap w:val="0"/>
            <w:vAlign w:val="center"/>
          </w:tcPr>
          <w:p>
            <w:pPr>
              <w:kinsoku w:val="0"/>
              <w:autoSpaceDE w:val="0"/>
              <w:autoSpaceDN w:val="0"/>
              <w:adjustRightInd w:val="0"/>
              <w:snapToGrid w:val="0"/>
              <w:spacing w:line="360" w:lineRule="auto"/>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供应商提供“基本资格条件承诺函”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34" w:type="dxa"/>
            <w:noWrap w:val="0"/>
            <w:vAlign w:val="center"/>
          </w:tcPr>
          <w:p>
            <w:pPr>
              <w:kinsoku w:val="0"/>
              <w:autoSpaceDE w:val="0"/>
              <w:autoSpaceDN w:val="0"/>
              <w:adjustRightInd w:val="0"/>
              <w:snapToGrid w:val="0"/>
              <w:spacing w:line="360" w:lineRule="auto"/>
              <w:jc w:val="center"/>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3</w:t>
            </w:r>
          </w:p>
        </w:tc>
        <w:tc>
          <w:tcPr>
            <w:tcW w:w="709" w:type="dxa"/>
            <w:vMerge w:val="continue"/>
            <w:noWrap w:val="0"/>
            <w:vAlign w:val="center"/>
          </w:tcPr>
          <w:p>
            <w:pPr>
              <w:kinsoku w:val="0"/>
              <w:autoSpaceDE w:val="0"/>
              <w:autoSpaceDN w:val="0"/>
              <w:adjustRightInd w:val="0"/>
              <w:snapToGrid w:val="0"/>
              <w:spacing w:line="360" w:lineRule="auto"/>
              <w:jc w:val="center"/>
              <w:rPr>
                <w:rFonts w:hint="eastAsia" w:ascii="方正仿宋_GBK" w:hAnsi="方正仿宋_GBK" w:eastAsia="方正仿宋_GBK" w:cs="方正仿宋_GBK"/>
                <w:lang w:val="zh-CN"/>
              </w:rPr>
            </w:pPr>
          </w:p>
        </w:tc>
        <w:tc>
          <w:tcPr>
            <w:tcW w:w="4246" w:type="dxa"/>
            <w:noWrap w:val="0"/>
            <w:vAlign w:val="center"/>
          </w:tcPr>
          <w:p>
            <w:pPr>
              <w:kinsoku w:val="0"/>
              <w:autoSpaceDE w:val="0"/>
              <w:autoSpaceDN w:val="0"/>
              <w:adjustRightInd w:val="0"/>
              <w:snapToGrid w:val="0"/>
              <w:spacing w:line="360" w:lineRule="auto"/>
              <w:jc w:val="left"/>
              <w:rPr>
                <w:rFonts w:hint="eastAsia" w:ascii="方正仿宋_GBK" w:hAnsi="方正仿宋_GBK" w:eastAsia="方正仿宋_GBK" w:cs="方正仿宋_GBK"/>
              </w:rPr>
            </w:pPr>
            <w:r>
              <w:rPr>
                <w:rFonts w:hint="eastAsia" w:ascii="方正仿宋_GBK" w:hAnsi="方正仿宋_GBK" w:eastAsia="方正仿宋_GBK" w:cs="方正仿宋_GBK"/>
              </w:rPr>
              <w:t>具有履行合同所必需的设备和专业技术能力</w:t>
            </w:r>
          </w:p>
        </w:tc>
        <w:tc>
          <w:tcPr>
            <w:tcW w:w="3809" w:type="dxa"/>
            <w:vMerge w:val="continue"/>
            <w:noWrap w:val="0"/>
            <w:vAlign w:val="center"/>
          </w:tcPr>
          <w:p>
            <w:pPr>
              <w:kinsoku w:val="0"/>
              <w:autoSpaceDE w:val="0"/>
              <w:autoSpaceDN w:val="0"/>
              <w:adjustRightInd w:val="0"/>
              <w:snapToGrid w:val="0"/>
              <w:spacing w:line="360" w:lineRule="auto"/>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34" w:type="dxa"/>
            <w:noWrap w:val="0"/>
            <w:vAlign w:val="center"/>
          </w:tcPr>
          <w:p>
            <w:pPr>
              <w:kinsoku w:val="0"/>
              <w:autoSpaceDE w:val="0"/>
              <w:autoSpaceDN w:val="0"/>
              <w:adjustRightInd w:val="0"/>
              <w:snapToGrid w:val="0"/>
              <w:spacing w:line="360" w:lineRule="auto"/>
              <w:jc w:val="center"/>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4</w:t>
            </w:r>
          </w:p>
        </w:tc>
        <w:tc>
          <w:tcPr>
            <w:tcW w:w="709" w:type="dxa"/>
            <w:vMerge w:val="continue"/>
            <w:noWrap w:val="0"/>
            <w:vAlign w:val="center"/>
          </w:tcPr>
          <w:p>
            <w:pPr>
              <w:kinsoku w:val="0"/>
              <w:autoSpaceDE w:val="0"/>
              <w:autoSpaceDN w:val="0"/>
              <w:adjustRightInd w:val="0"/>
              <w:snapToGrid w:val="0"/>
              <w:spacing w:line="360" w:lineRule="auto"/>
              <w:jc w:val="center"/>
              <w:rPr>
                <w:rFonts w:hint="eastAsia" w:ascii="方正仿宋_GBK" w:hAnsi="方正仿宋_GBK" w:eastAsia="方正仿宋_GBK" w:cs="方正仿宋_GBK"/>
                <w:lang w:val="zh-CN"/>
              </w:rPr>
            </w:pPr>
          </w:p>
        </w:tc>
        <w:tc>
          <w:tcPr>
            <w:tcW w:w="4246" w:type="dxa"/>
            <w:noWrap w:val="0"/>
            <w:vAlign w:val="center"/>
          </w:tcPr>
          <w:p>
            <w:pPr>
              <w:kinsoku w:val="0"/>
              <w:autoSpaceDE w:val="0"/>
              <w:autoSpaceDN w:val="0"/>
              <w:adjustRightInd w:val="0"/>
              <w:snapToGrid w:val="0"/>
              <w:spacing w:line="360" w:lineRule="auto"/>
              <w:jc w:val="left"/>
              <w:rPr>
                <w:rFonts w:hint="eastAsia" w:ascii="方正仿宋_GBK" w:hAnsi="方正仿宋_GBK" w:eastAsia="方正仿宋_GBK" w:cs="方正仿宋_GBK"/>
              </w:rPr>
            </w:pPr>
            <w:r>
              <w:rPr>
                <w:rFonts w:hint="eastAsia" w:ascii="方正仿宋_GBK" w:hAnsi="方正仿宋_GBK" w:eastAsia="方正仿宋_GBK" w:cs="方正仿宋_GBK"/>
              </w:rPr>
              <w:t>有依法缴纳税收和社会保障金的良好记录</w:t>
            </w:r>
          </w:p>
        </w:tc>
        <w:tc>
          <w:tcPr>
            <w:tcW w:w="3809" w:type="dxa"/>
            <w:vMerge w:val="continue"/>
            <w:noWrap w:val="0"/>
            <w:vAlign w:val="center"/>
          </w:tcPr>
          <w:p>
            <w:pPr>
              <w:kinsoku w:val="0"/>
              <w:autoSpaceDE w:val="0"/>
              <w:autoSpaceDN w:val="0"/>
              <w:adjustRightInd w:val="0"/>
              <w:snapToGrid w:val="0"/>
              <w:spacing w:line="360" w:lineRule="auto"/>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734" w:type="dxa"/>
            <w:noWrap w:val="0"/>
            <w:vAlign w:val="center"/>
          </w:tcPr>
          <w:p>
            <w:pPr>
              <w:kinsoku w:val="0"/>
              <w:autoSpaceDE w:val="0"/>
              <w:autoSpaceDN w:val="0"/>
              <w:adjustRightInd w:val="0"/>
              <w:snapToGrid w:val="0"/>
              <w:spacing w:line="360" w:lineRule="auto"/>
              <w:jc w:val="center"/>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5</w:t>
            </w:r>
          </w:p>
        </w:tc>
        <w:tc>
          <w:tcPr>
            <w:tcW w:w="709" w:type="dxa"/>
            <w:vMerge w:val="continue"/>
            <w:noWrap w:val="0"/>
            <w:vAlign w:val="center"/>
          </w:tcPr>
          <w:p>
            <w:pPr>
              <w:kinsoku w:val="0"/>
              <w:autoSpaceDE w:val="0"/>
              <w:autoSpaceDN w:val="0"/>
              <w:adjustRightInd w:val="0"/>
              <w:snapToGrid w:val="0"/>
              <w:spacing w:line="360" w:lineRule="auto"/>
              <w:jc w:val="center"/>
              <w:rPr>
                <w:rFonts w:hint="eastAsia" w:ascii="方正仿宋_GBK" w:hAnsi="方正仿宋_GBK" w:eastAsia="方正仿宋_GBK" w:cs="方正仿宋_GBK"/>
                <w:lang w:val="zh-CN"/>
              </w:rPr>
            </w:pPr>
          </w:p>
        </w:tc>
        <w:tc>
          <w:tcPr>
            <w:tcW w:w="4246" w:type="dxa"/>
            <w:noWrap w:val="0"/>
            <w:vAlign w:val="center"/>
          </w:tcPr>
          <w:p>
            <w:pPr>
              <w:kinsoku w:val="0"/>
              <w:autoSpaceDE w:val="0"/>
              <w:autoSpaceDN w:val="0"/>
              <w:adjustRightInd w:val="0"/>
              <w:snapToGrid w:val="0"/>
              <w:spacing w:line="360" w:lineRule="auto"/>
              <w:jc w:val="left"/>
              <w:rPr>
                <w:rFonts w:hint="eastAsia" w:ascii="方正仿宋_GBK" w:hAnsi="方正仿宋_GBK" w:eastAsia="方正仿宋_GBK" w:cs="方正仿宋_GBK"/>
              </w:rPr>
            </w:pPr>
            <w:r>
              <w:rPr>
                <w:rFonts w:hint="eastAsia" w:ascii="方正仿宋_GBK" w:hAnsi="方正仿宋_GBK" w:eastAsia="方正仿宋_GBK" w:cs="方正仿宋_GBK"/>
                <w:lang w:eastAsia="zh-CN"/>
              </w:rPr>
              <w:t>本次比选公告发布之日前</w:t>
            </w:r>
            <w:r>
              <w:rPr>
                <w:rFonts w:hint="eastAsia" w:ascii="方正仿宋_GBK" w:hAnsi="方正仿宋_GBK" w:eastAsia="方正仿宋_GBK" w:cs="方正仿宋_GBK"/>
              </w:rPr>
              <w:t>三年内，在经营活动中没有重大违法记录</w:t>
            </w:r>
          </w:p>
        </w:tc>
        <w:tc>
          <w:tcPr>
            <w:tcW w:w="3809" w:type="dxa"/>
            <w:vMerge w:val="continue"/>
            <w:noWrap w:val="0"/>
            <w:vAlign w:val="center"/>
          </w:tcPr>
          <w:p>
            <w:pPr>
              <w:kinsoku w:val="0"/>
              <w:autoSpaceDE w:val="0"/>
              <w:autoSpaceDN w:val="0"/>
              <w:adjustRightInd w:val="0"/>
              <w:snapToGrid w:val="0"/>
              <w:spacing w:line="360" w:lineRule="auto"/>
              <w:jc w:val="center"/>
              <w:rPr>
                <w:rFonts w:hint="eastAsia" w:ascii="方正仿宋_GBK" w:hAnsi="方正仿宋_GBK" w:eastAsia="方正仿宋_GBK" w:cs="方正仿宋_GBK"/>
              </w:rPr>
            </w:pPr>
          </w:p>
        </w:tc>
      </w:tr>
    </w:tbl>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按照财政部财库〔</w:t>
      </w:r>
      <w:r>
        <w:rPr>
          <w:rFonts w:hint="default" w:ascii="Times New Roman" w:hAnsi="Times New Roman" w:eastAsia="方正仿宋_GBK" w:cs="Times New Roman"/>
          <w:sz w:val="32"/>
          <w:szCs w:val="32"/>
        </w:rPr>
        <w:t>2022</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号《关于〈中华人民共和国政府采购法实施条例〉第十九条第一款“较大数额罚款”具体适用问题的意见》执行。</w:t>
      </w:r>
      <w:r>
        <w:rPr>
          <w:rFonts w:hint="eastAsia" w:ascii="方正仿宋_GBK" w:hAnsi="方正仿宋_GBK" w:eastAsia="方正仿宋_GBK" w:cs="方正仿宋_GBK"/>
          <w:sz w:val="32"/>
          <w:szCs w:val="32"/>
          <w:lang w:val="en-US" w:eastAsia="zh-CN"/>
        </w:rPr>
        <w:t>本项目参照以上法律法规</w:t>
      </w:r>
      <w:r>
        <w:rPr>
          <w:rFonts w:hint="eastAsia" w:ascii="方正仿宋_GBK" w:hAnsi="方正仿宋_GBK" w:eastAsia="方正仿宋_GBK" w:cs="方正仿宋_GBK"/>
          <w:sz w:val="32"/>
          <w:szCs w:val="32"/>
        </w:rPr>
        <w:t>执行</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符合性检查。依据比选文件的规定，从响应文件的有效性、完整性和对比选文件的响应程度进行审查，以确定是否对比选文件的实质性要求作出响应。符合性检查资料表如下：</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967"/>
        <w:gridCol w:w="1917"/>
        <w:gridCol w:w="4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37" w:type="dxa"/>
            <w:noWrap w:val="0"/>
            <w:vAlign w:val="center"/>
          </w:tcPr>
          <w:p>
            <w:pPr>
              <w:kinsoku w:val="0"/>
              <w:autoSpaceDE w:val="0"/>
              <w:autoSpaceDN w:val="0"/>
              <w:adjustRightInd w:val="0"/>
              <w:snapToGrid w:val="0"/>
              <w:spacing w:line="360" w:lineRule="auto"/>
              <w:jc w:val="center"/>
              <w:rPr>
                <w:rFonts w:hint="eastAsia" w:ascii="方正楷体_GBK" w:hAnsi="方正楷体_GBK" w:eastAsia="方正楷体_GBK" w:cs="方正楷体_GBK"/>
                <w:b/>
              </w:rPr>
            </w:pPr>
            <w:r>
              <w:rPr>
                <w:rFonts w:hint="eastAsia" w:ascii="方正楷体_GBK" w:hAnsi="方正楷体_GBK" w:eastAsia="方正楷体_GBK" w:cs="方正楷体_GBK"/>
                <w:b/>
              </w:rPr>
              <w:t>序号</w:t>
            </w:r>
          </w:p>
        </w:tc>
        <w:tc>
          <w:tcPr>
            <w:tcW w:w="3884" w:type="dxa"/>
            <w:gridSpan w:val="2"/>
            <w:noWrap w:val="0"/>
            <w:vAlign w:val="center"/>
          </w:tcPr>
          <w:p>
            <w:pPr>
              <w:kinsoku w:val="0"/>
              <w:autoSpaceDE w:val="0"/>
              <w:autoSpaceDN w:val="0"/>
              <w:adjustRightInd w:val="0"/>
              <w:snapToGrid w:val="0"/>
              <w:spacing w:line="360" w:lineRule="auto"/>
              <w:jc w:val="center"/>
              <w:rPr>
                <w:rFonts w:hint="eastAsia" w:ascii="方正楷体_GBK" w:hAnsi="方正楷体_GBK" w:eastAsia="方正楷体_GBK" w:cs="方正楷体_GBK"/>
                <w:b/>
              </w:rPr>
            </w:pPr>
            <w:r>
              <w:rPr>
                <w:rFonts w:hint="eastAsia" w:ascii="方正楷体_GBK" w:hAnsi="方正楷体_GBK" w:eastAsia="方正楷体_GBK" w:cs="方正楷体_GBK"/>
                <w:b/>
              </w:rPr>
              <w:t>评审因素</w:t>
            </w:r>
          </w:p>
        </w:tc>
        <w:tc>
          <w:tcPr>
            <w:tcW w:w="4341" w:type="dxa"/>
            <w:noWrap w:val="0"/>
            <w:vAlign w:val="center"/>
          </w:tcPr>
          <w:p>
            <w:pPr>
              <w:kinsoku w:val="0"/>
              <w:autoSpaceDE w:val="0"/>
              <w:autoSpaceDN w:val="0"/>
              <w:adjustRightInd w:val="0"/>
              <w:snapToGrid w:val="0"/>
              <w:spacing w:line="360" w:lineRule="auto"/>
              <w:jc w:val="center"/>
              <w:rPr>
                <w:rFonts w:hint="eastAsia" w:ascii="方正楷体_GBK" w:hAnsi="方正楷体_GBK" w:eastAsia="方正楷体_GBK" w:cs="方正楷体_GBK"/>
                <w:b/>
              </w:rPr>
            </w:pPr>
            <w:r>
              <w:rPr>
                <w:rFonts w:hint="eastAsia" w:ascii="方正楷体_GBK" w:hAnsi="方正楷体_GBK" w:eastAsia="方正楷体_GBK" w:cs="方正楷体_GBK"/>
                <w:b/>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7" w:type="dxa"/>
            <w:vMerge w:val="restart"/>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1</w:t>
            </w:r>
          </w:p>
        </w:tc>
        <w:tc>
          <w:tcPr>
            <w:tcW w:w="1967" w:type="dxa"/>
            <w:vMerge w:val="restart"/>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有效性审查</w:t>
            </w:r>
          </w:p>
        </w:tc>
        <w:tc>
          <w:tcPr>
            <w:tcW w:w="1917"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响应文件签署</w:t>
            </w:r>
          </w:p>
        </w:tc>
        <w:tc>
          <w:tcPr>
            <w:tcW w:w="4341"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电子文档及响应文件上法定代表人或其授权代表人的签字齐全。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937" w:type="dxa"/>
            <w:vMerge w:val="continue"/>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方正仿宋_GBK" w:cs="Times New Roman"/>
              </w:rPr>
            </w:pPr>
          </w:p>
        </w:tc>
        <w:tc>
          <w:tcPr>
            <w:tcW w:w="1967" w:type="dxa"/>
            <w:vMerge w:val="continue"/>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left"/>
              <w:textAlignment w:val="auto"/>
              <w:rPr>
                <w:rFonts w:hint="eastAsia" w:ascii="方正仿宋_GBK" w:hAnsi="方正仿宋_GBK" w:eastAsia="方正仿宋_GBK" w:cs="方正仿宋_GBK"/>
              </w:rPr>
            </w:pPr>
          </w:p>
        </w:tc>
        <w:tc>
          <w:tcPr>
            <w:tcW w:w="1917"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法定代表人身份证明及授权委托书</w:t>
            </w:r>
          </w:p>
        </w:tc>
        <w:tc>
          <w:tcPr>
            <w:tcW w:w="4341"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法定代表人身份证明及授权委托书有效，符合比选文件规定的格式，签字或盖章齐全。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37" w:type="dxa"/>
            <w:vMerge w:val="continue"/>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方正仿宋_GBK" w:cs="Times New Roman"/>
              </w:rPr>
            </w:pPr>
          </w:p>
        </w:tc>
        <w:tc>
          <w:tcPr>
            <w:tcW w:w="1967" w:type="dxa"/>
            <w:vMerge w:val="continue"/>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left"/>
              <w:textAlignment w:val="auto"/>
              <w:rPr>
                <w:rFonts w:hint="eastAsia" w:ascii="方正仿宋_GBK" w:hAnsi="方正仿宋_GBK" w:eastAsia="方正仿宋_GBK" w:cs="方正仿宋_GBK"/>
              </w:rPr>
            </w:pPr>
          </w:p>
        </w:tc>
        <w:tc>
          <w:tcPr>
            <w:tcW w:w="1917"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响应方案</w:t>
            </w:r>
          </w:p>
        </w:tc>
        <w:tc>
          <w:tcPr>
            <w:tcW w:w="4341"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每个分包只能有一个响应方案。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37" w:type="dxa"/>
            <w:vMerge w:val="continue"/>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方正仿宋_GBK" w:cs="Times New Roman"/>
              </w:rPr>
            </w:pPr>
          </w:p>
        </w:tc>
        <w:tc>
          <w:tcPr>
            <w:tcW w:w="1967" w:type="dxa"/>
            <w:vMerge w:val="continue"/>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left"/>
              <w:textAlignment w:val="auto"/>
              <w:rPr>
                <w:rFonts w:hint="eastAsia" w:ascii="方正仿宋_GBK" w:hAnsi="方正仿宋_GBK" w:eastAsia="方正仿宋_GBK" w:cs="方正仿宋_GBK"/>
              </w:rPr>
            </w:pPr>
          </w:p>
        </w:tc>
        <w:tc>
          <w:tcPr>
            <w:tcW w:w="1917"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报价唯一</w:t>
            </w:r>
          </w:p>
        </w:tc>
        <w:tc>
          <w:tcPr>
            <w:tcW w:w="4341"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只能在采购预算范围内报价，只能有一个有效报价，不得提交选择性报价。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37"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2</w:t>
            </w:r>
          </w:p>
        </w:tc>
        <w:tc>
          <w:tcPr>
            <w:tcW w:w="1967"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完整性审查</w:t>
            </w:r>
          </w:p>
        </w:tc>
        <w:tc>
          <w:tcPr>
            <w:tcW w:w="1917"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响应文件份数</w:t>
            </w:r>
          </w:p>
        </w:tc>
        <w:tc>
          <w:tcPr>
            <w:tcW w:w="4341"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37" w:type="dxa"/>
            <w:vMerge w:val="restart"/>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3</w:t>
            </w:r>
          </w:p>
        </w:tc>
        <w:tc>
          <w:tcPr>
            <w:tcW w:w="1967" w:type="dxa"/>
            <w:vMerge w:val="restart"/>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文件的响应程度审查</w:t>
            </w:r>
          </w:p>
        </w:tc>
        <w:tc>
          <w:tcPr>
            <w:tcW w:w="1917"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响应文件内容</w:t>
            </w:r>
          </w:p>
        </w:tc>
        <w:tc>
          <w:tcPr>
            <w:tcW w:w="4341"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商务响应偏离表应当对比选文件第三篇规定的中所列全部内容进行比较和响应，响应情况栏中应当注明具体内容。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37" w:type="dxa"/>
            <w:vMerge w:val="continue"/>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left"/>
              <w:textAlignment w:val="auto"/>
              <w:rPr>
                <w:rFonts w:hint="eastAsia" w:ascii="方正仿宋_GBK" w:hAnsi="方正仿宋_GBK" w:eastAsia="方正仿宋_GBK" w:cs="方正仿宋_GBK"/>
              </w:rPr>
            </w:pPr>
          </w:p>
        </w:tc>
        <w:tc>
          <w:tcPr>
            <w:tcW w:w="1967" w:type="dxa"/>
            <w:vMerge w:val="continue"/>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left"/>
              <w:textAlignment w:val="auto"/>
              <w:rPr>
                <w:rFonts w:hint="eastAsia" w:ascii="方正仿宋_GBK" w:hAnsi="方正仿宋_GBK" w:eastAsia="方正仿宋_GBK" w:cs="方正仿宋_GBK"/>
              </w:rPr>
            </w:pPr>
          </w:p>
        </w:tc>
        <w:tc>
          <w:tcPr>
            <w:tcW w:w="1917"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有效期</w:t>
            </w:r>
          </w:p>
        </w:tc>
        <w:tc>
          <w:tcPr>
            <w:tcW w:w="4341"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比选文件规定。</w:t>
            </w:r>
          </w:p>
        </w:tc>
      </w:tr>
    </w:tbl>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bookmarkStart w:id="42" w:name="_Toc7210"/>
      <w:bookmarkEnd w:id="42"/>
      <w:bookmarkStart w:id="43" w:name="_Toc13506"/>
      <w:bookmarkEnd w:id="43"/>
      <w:bookmarkStart w:id="44" w:name="_Toc32208"/>
      <w:bookmarkEnd w:id="44"/>
      <w:r>
        <w:rPr>
          <w:rFonts w:hint="eastAsia" w:ascii="方正仿宋_GBK" w:hAnsi="方正仿宋_GBK" w:eastAsia="方正仿宋_GBK" w:cs="方正仿宋_GBK"/>
          <w:sz w:val="32"/>
          <w:szCs w:val="32"/>
        </w:rPr>
        <w:t>（三）在比选过程中比选的任何一方不得向他人透露与比选有关的服务资料、价格或其他信息。</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在比选过程中，评审小组可以根据比选文件和比选情况实质性变动采购需求中的技术（服务）、商务要求以及合同草案条款，但不得变动比选文件中的其他内容。实质性变动的内容，须经采购人代表确认。对比选文件作出的实质性变动是比选文件的有效组成部分，评审小组应当及时以书面形式同时通知所有参加比选的供应商。</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（五）供应商在比选时作出的所有书面承诺须由法定代表人或其授权代表签字。</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评审小组采用综合评分法对合格的供应商的响应文件进行综合评分。综合评分法，是指响应文件满足比选文件全部实质性要求且按照评审因素的量化指标评审得分最高的供应商为成交候选供应商的评审方法。供应商总得分为价格、技术（服务）、商务等评定因素分别按照相应权重值计算分项得分后相加，满分为</w:t>
      </w:r>
      <w:r>
        <w:rPr>
          <w:rFonts w:hint="default" w:ascii="Times New Roman" w:hAnsi="Times New Roman" w:eastAsia="方正仿宋_GBK" w:cs="Times New Roman"/>
          <w:sz w:val="32"/>
          <w:szCs w:val="32"/>
        </w:rPr>
        <w:t>100</w:t>
      </w:r>
      <w:r>
        <w:rPr>
          <w:rFonts w:hint="eastAsia" w:ascii="方正仿宋_GBK" w:hAnsi="方正仿宋_GBK" w:eastAsia="方正仿宋_GBK" w:cs="方正仿宋_GBK"/>
          <w:sz w:val="32"/>
          <w:szCs w:val="32"/>
        </w:rPr>
        <w:t>分。</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（七）评审小组各成员独立对每个有效响应（通过资格性检查、符合性检查的供应商）的文件进行评价、打分，然后汇总每个供应商每项评分因素的得分，并根据综合评分情况按照评审得分由高到低顺序推荐</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名以上成交候选供应商，并编写评审报告。若供应商的评审得分相同的，按照报价由低到高的顺序排列推荐。评审得分且报价相同的，按照服务部分得分高低顺序排列推荐。以上都相同的，按商务部分得分高低顺序排列推荐，以上得分均相等，则由评审小组投票决定。</w:t>
      </w:r>
    </w:p>
    <w:p>
      <w:pPr>
        <w:pStyle w:val="2"/>
        <w:rPr>
          <w:rFonts w:hint="eastAsia"/>
        </w:rPr>
      </w:pPr>
    </w:p>
    <w:p>
      <w:pPr>
        <w:pStyle w:val="4"/>
        <w:keepNext/>
        <w:keepLines/>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黑体_GBK" w:hAnsi="方正黑体_GBK" w:eastAsia="方正黑体_GBK" w:cs="方正黑体_GBK"/>
          <w:sz w:val="32"/>
          <w:szCs w:val="32"/>
        </w:rPr>
      </w:pPr>
      <w:bookmarkStart w:id="45" w:name="_Toc622"/>
      <w:r>
        <w:rPr>
          <w:rFonts w:hint="eastAsia" w:ascii="方正黑体_GBK" w:hAnsi="方正黑体_GBK" w:eastAsia="方正黑体_GBK" w:cs="方正黑体_GBK"/>
          <w:sz w:val="32"/>
          <w:szCs w:val="32"/>
        </w:rPr>
        <w:t>二、评审标准</w:t>
      </w:r>
      <w:bookmarkEnd w:id="45"/>
    </w:p>
    <w:p>
      <w:pPr>
        <w:rPr>
          <w:rFonts w:hint="eastAsia"/>
        </w:rPr>
      </w:pPr>
    </w:p>
    <w:p>
      <w:pPr>
        <w:pStyle w:val="2"/>
        <w:rPr>
          <w:rFonts w:hint="eastAsia"/>
        </w:rPr>
      </w:pPr>
    </w:p>
    <w:tbl>
      <w:tblPr>
        <w:tblStyle w:val="63"/>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069"/>
        <w:gridCol w:w="980"/>
        <w:gridCol w:w="5743"/>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noWrap w:val="0"/>
            <w:vAlign w:val="center"/>
          </w:tcPr>
          <w:p>
            <w:pPr>
              <w:keepNext w:val="0"/>
              <w:keepLines w:val="0"/>
              <w:pageBreakBefore w:val="0"/>
              <w:widowControl w:val="0"/>
              <w:wordWrap/>
              <w:overflowPunct/>
              <w:topLinePunct w:val="0"/>
              <w:bidi w:val="0"/>
              <w:spacing w:line="0" w:lineRule="atLeast"/>
              <w:ind w:firstLine="28"/>
              <w:jc w:val="left"/>
              <w:textAlignment w:val="auto"/>
              <w:rPr>
                <w:rFonts w:hint="eastAsia" w:ascii="方正楷体_GBK" w:hAnsi="方正楷体_GBK" w:eastAsia="方正楷体_GBK" w:cs="方正楷体_GBK"/>
                <w:b/>
                <w:bCs w:val="0"/>
                <w:color w:val="000000"/>
                <w:sz w:val="24"/>
                <w:szCs w:val="24"/>
              </w:rPr>
            </w:pPr>
            <w:r>
              <w:rPr>
                <w:rFonts w:hint="eastAsia" w:ascii="方正楷体_GBK" w:hAnsi="方正楷体_GBK" w:eastAsia="方正楷体_GBK" w:cs="方正楷体_GBK"/>
                <w:b/>
                <w:bCs w:val="0"/>
                <w:color w:val="000000"/>
                <w:sz w:val="24"/>
                <w:szCs w:val="24"/>
              </w:rPr>
              <w:t>序号</w:t>
            </w:r>
          </w:p>
        </w:tc>
        <w:tc>
          <w:tcPr>
            <w:tcW w:w="1069" w:type="dxa"/>
            <w:noWrap w:val="0"/>
            <w:vAlign w:val="center"/>
          </w:tcPr>
          <w:p>
            <w:pPr>
              <w:keepNext w:val="0"/>
              <w:keepLines w:val="0"/>
              <w:pageBreakBefore w:val="0"/>
              <w:widowControl w:val="0"/>
              <w:wordWrap/>
              <w:overflowPunct/>
              <w:topLinePunct w:val="0"/>
              <w:bidi w:val="0"/>
              <w:spacing w:line="0" w:lineRule="atLeast"/>
              <w:ind w:firstLine="28"/>
              <w:jc w:val="left"/>
              <w:textAlignment w:val="auto"/>
              <w:rPr>
                <w:rFonts w:hint="eastAsia" w:ascii="方正楷体_GBK" w:hAnsi="方正楷体_GBK" w:eastAsia="方正楷体_GBK" w:cs="方正楷体_GBK"/>
                <w:b/>
                <w:bCs w:val="0"/>
                <w:color w:val="000000"/>
                <w:sz w:val="24"/>
                <w:szCs w:val="24"/>
              </w:rPr>
            </w:pPr>
            <w:r>
              <w:rPr>
                <w:rFonts w:hint="eastAsia" w:ascii="方正楷体_GBK" w:hAnsi="方正楷体_GBK" w:eastAsia="方正楷体_GBK" w:cs="方正楷体_GBK"/>
                <w:b/>
                <w:bCs w:val="0"/>
                <w:color w:val="000000"/>
                <w:sz w:val="24"/>
                <w:szCs w:val="24"/>
              </w:rPr>
              <w:t>评分因素及权值</w:t>
            </w:r>
          </w:p>
        </w:tc>
        <w:tc>
          <w:tcPr>
            <w:tcW w:w="980" w:type="dxa"/>
            <w:noWrap w:val="0"/>
            <w:vAlign w:val="center"/>
          </w:tcPr>
          <w:p>
            <w:pPr>
              <w:keepNext w:val="0"/>
              <w:keepLines w:val="0"/>
              <w:pageBreakBefore w:val="0"/>
              <w:widowControl w:val="0"/>
              <w:wordWrap/>
              <w:overflowPunct/>
              <w:topLinePunct w:val="0"/>
              <w:bidi w:val="0"/>
              <w:spacing w:line="0" w:lineRule="atLeast"/>
              <w:ind w:firstLine="28"/>
              <w:jc w:val="left"/>
              <w:textAlignment w:val="auto"/>
              <w:rPr>
                <w:rFonts w:hint="eastAsia" w:ascii="方正楷体_GBK" w:hAnsi="方正楷体_GBK" w:eastAsia="方正楷体_GBK" w:cs="方正楷体_GBK"/>
                <w:b/>
                <w:bCs w:val="0"/>
                <w:color w:val="000000"/>
                <w:sz w:val="24"/>
                <w:szCs w:val="24"/>
              </w:rPr>
            </w:pPr>
            <w:r>
              <w:rPr>
                <w:rFonts w:hint="eastAsia" w:ascii="方正楷体_GBK" w:hAnsi="方正楷体_GBK" w:eastAsia="方正楷体_GBK" w:cs="方正楷体_GBK"/>
                <w:b/>
                <w:bCs w:val="0"/>
                <w:color w:val="000000"/>
                <w:sz w:val="24"/>
                <w:szCs w:val="24"/>
              </w:rPr>
              <w:t>分值</w:t>
            </w:r>
          </w:p>
        </w:tc>
        <w:tc>
          <w:tcPr>
            <w:tcW w:w="5743" w:type="dxa"/>
            <w:noWrap w:val="0"/>
            <w:vAlign w:val="center"/>
          </w:tcPr>
          <w:p>
            <w:pPr>
              <w:keepNext w:val="0"/>
              <w:keepLines w:val="0"/>
              <w:pageBreakBefore w:val="0"/>
              <w:widowControl w:val="0"/>
              <w:wordWrap/>
              <w:overflowPunct/>
              <w:topLinePunct w:val="0"/>
              <w:bidi w:val="0"/>
              <w:spacing w:line="0" w:lineRule="atLeast"/>
              <w:ind w:firstLine="28"/>
              <w:jc w:val="left"/>
              <w:textAlignment w:val="auto"/>
              <w:rPr>
                <w:rFonts w:hint="eastAsia" w:ascii="方正楷体_GBK" w:hAnsi="方正楷体_GBK" w:eastAsia="方正楷体_GBK" w:cs="方正楷体_GBK"/>
                <w:b/>
                <w:bCs w:val="0"/>
                <w:color w:val="000000"/>
                <w:sz w:val="24"/>
                <w:szCs w:val="24"/>
              </w:rPr>
            </w:pPr>
            <w:r>
              <w:rPr>
                <w:rFonts w:hint="eastAsia" w:ascii="方正楷体_GBK" w:hAnsi="方正楷体_GBK" w:eastAsia="方正楷体_GBK" w:cs="方正楷体_GBK"/>
                <w:b/>
                <w:bCs w:val="0"/>
                <w:color w:val="000000"/>
                <w:sz w:val="24"/>
                <w:szCs w:val="24"/>
              </w:rPr>
              <w:t>评分标准</w:t>
            </w:r>
          </w:p>
        </w:tc>
        <w:tc>
          <w:tcPr>
            <w:tcW w:w="1594" w:type="dxa"/>
            <w:noWrap w:val="0"/>
            <w:vAlign w:val="center"/>
          </w:tcPr>
          <w:p>
            <w:pPr>
              <w:keepNext w:val="0"/>
              <w:keepLines w:val="0"/>
              <w:pageBreakBefore w:val="0"/>
              <w:widowControl w:val="0"/>
              <w:wordWrap/>
              <w:overflowPunct/>
              <w:topLinePunct w:val="0"/>
              <w:bidi w:val="0"/>
              <w:spacing w:line="0" w:lineRule="atLeast"/>
              <w:jc w:val="left"/>
              <w:textAlignment w:val="auto"/>
              <w:rPr>
                <w:rFonts w:hint="eastAsia" w:ascii="方正楷体_GBK" w:hAnsi="方正楷体_GBK" w:eastAsia="方正楷体_GBK" w:cs="方正楷体_GBK"/>
                <w:b/>
                <w:bCs w:val="0"/>
                <w:color w:val="000000"/>
                <w:sz w:val="24"/>
                <w:szCs w:val="24"/>
              </w:rPr>
            </w:pPr>
            <w:r>
              <w:rPr>
                <w:rFonts w:hint="eastAsia" w:ascii="方正楷体_GBK" w:hAnsi="方正楷体_GBK" w:eastAsia="方正楷体_GBK" w:cs="方正楷体_GBK"/>
                <w:b/>
                <w:bCs w:val="0"/>
                <w:color w:val="00000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0" w:lineRule="atLeast"/>
              <w:ind w:firstLine="28"/>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w:t>
            </w:r>
          </w:p>
        </w:tc>
        <w:tc>
          <w:tcPr>
            <w:tcW w:w="1069"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0" w:lineRule="atLeast"/>
              <w:ind w:firstLine="28"/>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报价</w:t>
            </w:r>
          </w:p>
          <w:p>
            <w:pPr>
              <w:keepNext w:val="0"/>
              <w:keepLines w:val="0"/>
              <w:pageBreakBefore w:val="0"/>
              <w:widowControl w:val="0"/>
              <w:kinsoku w:val="0"/>
              <w:wordWrap/>
              <w:overflowPunct/>
              <w:topLinePunct w:val="0"/>
              <w:autoSpaceDE w:val="0"/>
              <w:autoSpaceDN w:val="0"/>
              <w:bidi w:val="0"/>
              <w:adjustRightInd w:val="0"/>
              <w:snapToGrid w:val="0"/>
              <w:spacing w:line="0" w:lineRule="atLeast"/>
              <w:ind w:firstLine="28"/>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w:t>
            </w:r>
            <w:r>
              <w:rPr>
                <w:rFonts w:hint="default" w:ascii="Times New Roman" w:hAnsi="Times New Roman" w:eastAsia="方正仿宋_GBK" w:cs="Times New Roman"/>
                <w:color w:val="000000"/>
                <w:sz w:val="24"/>
                <w:szCs w:val="24"/>
                <w:highlight w:val="none"/>
                <w:lang w:val="en-US" w:eastAsia="zh-CN"/>
              </w:rPr>
              <w:t>60</w:t>
            </w:r>
            <w:r>
              <w:rPr>
                <w:rFonts w:hint="default" w:ascii="Times New Roman" w:hAnsi="Times New Roman" w:eastAsia="方正仿宋_GBK" w:cs="Times New Roman"/>
                <w:color w:val="000000"/>
                <w:sz w:val="24"/>
                <w:szCs w:val="24"/>
                <w:highlight w:val="none"/>
              </w:rPr>
              <w:t>%</w:t>
            </w:r>
            <w:r>
              <w:rPr>
                <w:rFonts w:hint="eastAsia" w:ascii="方正仿宋_GBK" w:hAnsi="方正仿宋_GBK" w:eastAsia="方正仿宋_GBK" w:cs="方正仿宋_GBK"/>
                <w:color w:val="000000"/>
                <w:sz w:val="24"/>
                <w:szCs w:val="24"/>
                <w:highlight w:val="none"/>
              </w:rPr>
              <w:t>）</w:t>
            </w:r>
          </w:p>
        </w:tc>
        <w:tc>
          <w:tcPr>
            <w:tcW w:w="980"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0" w:lineRule="atLeast"/>
              <w:ind w:firstLine="28"/>
              <w:jc w:val="center"/>
              <w:textAlignment w:val="auto"/>
              <w:rPr>
                <w:rFonts w:hint="eastAsia" w:ascii="方正仿宋_GBK" w:hAnsi="方正仿宋_GBK" w:eastAsia="方正仿宋_GBK" w:cs="方正仿宋_GBK"/>
                <w:color w:val="000000"/>
                <w:sz w:val="24"/>
                <w:szCs w:val="24"/>
                <w:highlight w:val="none"/>
              </w:rPr>
            </w:pPr>
            <w:r>
              <w:rPr>
                <w:rFonts w:hint="eastAsia" w:ascii="Times New Roman" w:hAnsi="Times New Roman" w:eastAsia="方正仿宋_GBK" w:cs="Times New Roman"/>
                <w:color w:val="000000"/>
                <w:sz w:val="24"/>
                <w:szCs w:val="24"/>
                <w:highlight w:val="none"/>
                <w:lang w:val="en-US" w:eastAsia="zh-CN"/>
              </w:rPr>
              <w:t>60</w:t>
            </w:r>
            <w:r>
              <w:rPr>
                <w:rFonts w:hint="eastAsia" w:ascii="方正仿宋_GBK" w:hAnsi="方正仿宋_GBK" w:eastAsia="方正仿宋_GBK" w:cs="方正仿宋_GBK"/>
                <w:color w:val="000000"/>
                <w:sz w:val="24"/>
                <w:szCs w:val="24"/>
                <w:highlight w:val="none"/>
              </w:rPr>
              <w:t>分</w:t>
            </w:r>
          </w:p>
        </w:tc>
        <w:tc>
          <w:tcPr>
            <w:tcW w:w="5743"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auto"/>
              <w:rPr>
                <w:rFonts w:hint="eastAsia" w:ascii="方正仿宋_GBK" w:hAnsi="方正仿宋_GBK" w:eastAsia="方正仿宋_GBK" w:cs="方正仿宋_GBK"/>
                <w:color w:val="000000"/>
                <w:sz w:val="24"/>
                <w:szCs w:val="24"/>
                <w:lang w:eastAsia="zh-CN"/>
              </w:rPr>
            </w:pPr>
            <w:r>
              <w:rPr>
                <w:rFonts w:hint="default" w:ascii="Times New Roman" w:hAnsi="Times New Roman" w:eastAsia="方正仿宋_GBK" w:cs="Times New Roman"/>
                <w:b/>
                <w:bCs/>
                <w:color w:val="000000"/>
                <w:sz w:val="24"/>
                <w:szCs w:val="24"/>
              </w:rPr>
              <w:t>1</w:t>
            </w:r>
            <w:r>
              <w:rPr>
                <w:rFonts w:hint="default" w:ascii="Times New Roman" w:hAnsi="Times New Roman" w:eastAsia="方正仿宋_GBK" w:cs="Times New Roman"/>
                <w:b/>
                <w:bCs/>
                <w:color w:val="000000"/>
                <w:sz w:val="24"/>
                <w:szCs w:val="24"/>
                <w:lang w:val="en-US"/>
              </w:rPr>
              <w:t>.</w:t>
            </w:r>
            <w:r>
              <w:rPr>
                <w:rFonts w:hint="eastAsia" w:ascii="方正仿宋_GBK" w:hAnsi="方正仿宋_GBK" w:eastAsia="方正仿宋_GBK" w:cs="方正仿宋_GBK"/>
                <w:b/>
                <w:bCs/>
                <w:color w:val="000000"/>
                <w:sz w:val="24"/>
                <w:szCs w:val="24"/>
              </w:rPr>
              <w:t>评标基准价</w:t>
            </w:r>
            <w:r>
              <w:rPr>
                <w:rFonts w:hint="eastAsia" w:ascii="方正仿宋_GBK" w:hAnsi="方正仿宋_GBK" w:eastAsia="方正仿宋_GBK" w:cs="方正仿宋_GBK"/>
                <w:b/>
                <w:bCs/>
                <w:color w:val="000000"/>
                <w:sz w:val="24"/>
                <w:szCs w:val="24"/>
                <w:lang w:eastAsia="zh-CN"/>
              </w:rPr>
              <w:t>：</w:t>
            </w:r>
            <w:r>
              <w:rPr>
                <w:rFonts w:hint="eastAsia" w:ascii="方正仿宋_GBK" w:hAnsi="方正仿宋_GBK" w:eastAsia="方正仿宋_GBK" w:cs="方正仿宋_GBK"/>
                <w:color w:val="000000"/>
                <w:sz w:val="24"/>
                <w:szCs w:val="24"/>
              </w:rPr>
              <w:t>所有通过初步评审合格的投标人的投标总报价的算术平均值作为投标总报价的评标基准价</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以上计算取小数点后两位，第三位四舍五入</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在评标基准价计算完成后（除计算错误外），在后续的评审中不得再对其做出调整</w:t>
            </w:r>
            <w:r>
              <w:rPr>
                <w:rFonts w:hint="eastAsia" w:ascii="方正仿宋_GBK" w:hAnsi="方正仿宋_GBK" w:eastAsia="方正仿宋_GBK" w:cs="方正仿宋_GBK"/>
                <w:color w:val="000000"/>
                <w:sz w:val="24"/>
                <w:szCs w:val="24"/>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auto"/>
              <w:rPr>
                <w:rFonts w:hint="eastAsia" w:ascii="方正仿宋_GBK" w:hAnsi="方正仿宋_GBK" w:eastAsia="方正仿宋_GBK" w:cs="方正仿宋_GBK"/>
                <w:color w:val="000000"/>
                <w:sz w:val="24"/>
                <w:szCs w:val="24"/>
                <w:lang w:eastAsia="zh-CN"/>
              </w:rPr>
            </w:pPr>
            <w:r>
              <w:rPr>
                <w:rFonts w:hint="default" w:ascii="Times New Roman" w:hAnsi="Times New Roman" w:eastAsia="方正仿宋_GBK" w:cs="Times New Roman"/>
                <w:b/>
                <w:bCs/>
                <w:color w:val="000000"/>
                <w:sz w:val="24"/>
                <w:szCs w:val="24"/>
              </w:rPr>
              <w:t>2</w:t>
            </w:r>
            <w:r>
              <w:rPr>
                <w:rFonts w:hint="default" w:ascii="Times New Roman" w:hAnsi="Times New Roman" w:eastAsia="方正仿宋_GBK" w:cs="Times New Roman"/>
                <w:b/>
                <w:bCs/>
                <w:color w:val="000000"/>
                <w:sz w:val="24"/>
                <w:szCs w:val="24"/>
                <w:lang w:val="en-US"/>
              </w:rPr>
              <w:t>.</w:t>
            </w:r>
            <w:r>
              <w:rPr>
                <w:rFonts w:hint="eastAsia" w:ascii="方正仿宋_GBK" w:hAnsi="方正仿宋_GBK" w:eastAsia="方正仿宋_GBK" w:cs="方正仿宋_GBK"/>
                <w:b/>
                <w:bCs/>
                <w:color w:val="000000"/>
                <w:sz w:val="24"/>
                <w:szCs w:val="24"/>
              </w:rPr>
              <w:t>偏差率计算公式：</w:t>
            </w:r>
            <w:r>
              <w:rPr>
                <w:rFonts w:hint="eastAsia" w:ascii="方正仿宋_GBK" w:hAnsi="方正仿宋_GBK" w:eastAsia="方正仿宋_GBK" w:cs="方正仿宋_GBK"/>
                <w:color w:val="000000"/>
                <w:sz w:val="24"/>
                <w:szCs w:val="24"/>
              </w:rPr>
              <w:t>偏差率=</w:t>
            </w:r>
            <w:r>
              <w:rPr>
                <w:rFonts w:hint="default" w:ascii="Times New Roman" w:hAnsi="Times New Roman" w:eastAsia="方正仿宋_GBK" w:cs="Times New Roman"/>
                <w:color w:val="000000"/>
                <w:sz w:val="24"/>
                <w:szCs w:val="24"/>
              </w:rPr>
              <w:t>100％</w:t>
            </w:r>
            <w:r>
              <w:rPr>
                <w:rFonts w:hint="eastAsia" w:ascii="方正仿宋_GBK" w:hAnsi="方正仿宋_GBK" w:eastAsia="方正仿宋_GBK" w:cs="方正仿宋_GBK"/>
                <w:color w:val="000000"/>
                <w:sz w:val="24"/>
                <w:szCs w:val="24"/>
              </w:rPr>
              <w:t>×（投标人报价一评标基准价）／评标基准价</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偏差率计算保留小数点后两位，小数点后第三位“四舍五入”</w:t>
            </w:r>
            <w:r>
              <w:rPr>
                <w:rFonts w:hint="eastAsia" w:ascii="方正仿宋_GBK" w:hAnsi="方正仿宋_GBK" w:eastAsia="方正仿宋_GBK" w:cs="方正仿宋_GBK"/>
                <w:color w:val="000000"/>
                <w:sz w:val="24"/>
                <w:szCs w:val="24"/>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auto"/>
              <w:rPr>
                <w:rFonts w:hint="default" w:eastAsia="方正仿宋_GBK"/>
                <w:lang w:val="en-US" w:eastAsia="zh-CN"/>
              </w:rPr>
            </w:pPr>
            <w:r>
              <w:rPr>
                <w:rFonts w:hint="default" w:ascii="Times New Roman" w:hAnsi="Times New Roman" w:eastAsia="方正仿宋_GBK" w:cs="Times New Roman"/>
                <w:b/>
                <w:bCs/>
                <w:color w:val="000000"/>
                <w:sz w:val="24"/>
                <w:szCs w:val="24"/>
              </w:rPr>
              <w:t>3</w:t>
            </w:r>
            <w:r>
              <w:rPr>
                <w:rFonts w:hint="default" w:ascii="Times New Roman" w:hAnsi="Times New Roman" w:eastAsia="方正仿宋_GBK" w:cs="Times New Roman"/>
                <w:b/>
                <w:bCs/>
                <w:color w:val="000000"/>
                <w:sz w:val="24"/>
                <w:szCs w:val="24"/>
                <w:lang w:val="en-US"/>
              </w:rPr>
              <w:t>.</w:t>
            </w:r>
            <w:r>
              <w:rPr>
                <w:rFonts w:hint="eastAsia" w:ascii="方正仿宋_GBK" w:hAnsi="方正仿宋_GBK" w:eastAsia="方正仿宋_GBK" w:cs="方正仿宋_GBK"/>
                <w:b/>
                <w:bCs/>
                <w:color w:val="000000"/>
                <w:sz w:val="24"/>
                <w:szCs w:val="24"/>
              </w:rPr>
              <w:t>报价</w:t>
            </w:r>
            <w:r>
              <w:rPr>
                <w:rFonts w:hint="eastAsia" w:ascii="方正仿宋_GBK" w:hAnsi="方正仿宋_GBK" w:eastAsia="方正仿宋_GBK" w:cs="方正仿宋_GBK"/>
                <w:b/>
                <w:bCs/>
                <w:color w:val="000000"/>
                <w:sz w:val="24"/>
                <w:szCs w:val="24"/>
                <w:lang w:val="en-US" w:eastAsia="zh-CN"/>
              </w:rPr>
              <w:t>得分计算</w:t>
            </w:r>
            <w:r>
              <w:rPr>
                <w:rFonts w:hint="eastAsia" w:ascii="方正仿宋_GBK" w:hAnsi="方正仿宋_GBK" w:eastAsia="方正仿宋_GBK" w:cs="方正仿宋_GBK"/>
                <w:b/>
                <w:bCs/>
                <w:color w:val="000000"/>
                <w:sz w:val="24"/>
                <w:szCs w:val="24"/>
              </w:rPr>
              <w:t>：</w:t>
            </w:r>
            <w:r>
              <w:rPr>
                <w:rFonts w:hint="eastAsia" w:ascii="方正仿宋_GBK" w:hAnsi="方正仿宋_GBK" w:eastAsia="方正仿宋_GBK" w:cs="方正仿宋_GBK"/>
                <w:color w:val="000000"/>
                <w:sz w:val="24"/>
                <w:szCs w:val="24"/>
              </w:rPr>
              <w:t>所有通过初步评审合格的投标人，其投标总报价先获得基础分值满分</w:t>
            </w:r>
            <w:r>
              <w:rPr>
                <w:rFonts w:hint="default" w:ascii="Times New Roman" w:hAnsi="Times New Roman" w:eastAsia="方正仿宋_GBK" w:cs="Times New Roman"/>
                <w:color w:val="000000"/>
                <w:sz w:val="24"/>
                <w:szCs w:val="24"/>
              </w:rPr>
              <w:t>60</w:t>
            </w:r>
            <w:r>
              <w:rPr>
                <w:rFonts w:hint="eastAsia" w:ascii="方正仿宋_GBK" w:hAnsi="方正仿宋_GBK" w:eastAsia="方正仿宋_GBK" w:cs="方正仿宋_GBK"/>
                <w:color w:val="000000"/>
                <w:sz w:val="24"/>
                <w:szCs w:val="24"/>
              </w:rPr>
              <w:t>分，然后根据报价与评标准基价的百分比偏差进行扣分。扣分规则为：报价每高于基准价</w:t>
            </w:r>
            <w:r>
              <w:rPr>
                <w:rFonts w:hint="default" w:ascii="Times New Roman" w:hAnsi="Times New Roman" w:eastAsia="方正仿宋_GBK" w:cs="Times New Roman"/>
                <w:color w:val="000000"/>
                <w:sz w:val="24"/>
                <w:szCs w:val="24"/>
              </w:rPr>
              <w:t>1%</w:t>
            </w:r>
            <w:r>
              <w:rPr>
                <w:rFonts w:hint="eastAsia" w:ascii="方正仿宋_GBK" w:hAnsi="方正仿宋_GBK" w:eastAsia="方正仿宋_GBK" w:cs="方正仿宋_GBK"/>
                <w:color w:val="000000"/>
                <w:sz w:val="24"/>
                <w:szCs w:val="24"/>
              </w:rPr>
              <w:t>扣1分，每低于</w:t>
            </w:r>
            <w:r>
              <w:rPr>
                <w:rFonts w:hint="eastAsia" w:ascii="方正仿宋_GBK" w:hAnsi="方正仿宋_GBK" w:eastAsia="方正仿宋_GBK" w:cs="方正仿宋_GBK"/>
                <w:color w:val="000000"/>
                <w:sz w:val="24"/>
                <w:szCs w:val="24"/>
                <w:lang w:val="en-US" w:eastAsia="zh-CN"/>
              </w:rPr>
              <w:t>基准价</w:t>
            </w:r>
            <w:r>
              <w:rPr>
                <w:rFonts w:hint="default" w:ascii="Times New Roman" w:hAnsi="Times New Roman" w:eastAsia="方正仿宋_GBK" w:cs="Times New Roman"/>
                <w:color w:val="000000"/>
                <w:sz w:val="24"/>
                <w:szCs w:val="24"/>
              </w:rPr>
              <w:t>1%</w:t>
            </w:r>
            <w:r>
              <w:rPr>
                <w:rFonts w:hint="eastAsia" w:ascii="方正仿宋_GBK" w:hAnsi="方正仿宋_GBK" w:eastAsia="方正仿宋_GBK" w:cs="方正仿宋_GBK"/>
                <w:color w:val="000000"/>
                <w:sz w:val="24"/>
                <w:szCs w:val="24"/>
              </w:rPr>
              <w:t>扣</w:t>
            </w:r>
            <w:r>
              <w:rPr>
                <w:rFonts w:hint="eastAsia" w:ascii="Times New Roman" w:hAnsi="Times New Roman" w:eastAsia="方正仿宋_GBK" w:cs="Times New Roman"/>
                <w:color w:val="000000"/>
                <w:sz w:val="24"/>
                <w:szCs w:val="24"/>
              </w:rPr>
              <w:t>0.5</w:t>
            </w:r>
            <w:r>
              <w:rPr>
                <w:rFonts w:hint="eastAsia" w:ascii="方正仿宋_GBK" w:hAnsi="方正仿宋_GBK" w:eastAsia="方正仿宋_GBK" w:cs="方正仿宋_GBK"/>
                <w:color w:val="000000"/>
                <w:sz w:val="24"/>
                <w:szCs w:val="24"/>
              </w:rPr>
              <w:t>分；扣分后得分最低为</w:t>
            </w:r>
            <w:r>
              <w:rPr>
                <w:rFonts w:hint="default" w:ascii="Times New Roman" w:hAnsi="Times New Roman" w:eastAsia="方正仿宋_GBK" w:cs="Times New Roman"/>
                <w:color w:val="000000"/>
                <w:sz w:val="24"/>
                <w:szCs w:val="24"/>
              </w:rPr>
              <w:t>0</w:t>
            </w:r>
            <w:r>
              <w:rPr>
                <w:rFonts w:hint="eastAsia" w:ascii="方正仿宋_GBK" w:hAnsi="方正仿宋_GBK" w:eastAsia="方正仿宋_GBK" w:cs="方正仿宋_GBK"/>
                <w:color w:val="000000"/>
                <w:sz w:val="24"/>
                <w:szCs w:val="24"/>
              </w:rPr>
              <w:t>分（即“扣完为止”），最终得分取小数点后两位（第三位四舍五入）。</w:t>
            </w:r>
          </w:p>
        </w:tc>
        <w:tc>
          <w:tcPr>
            <w:tcW w:w="1594"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lang w:val="zh-CN"/>
              </w:rPr>
              <w:t>计算结果保留小数点后两位，第三位四舍五入。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vMerge w:val="restart"/>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0" w:lineRule="atLeast"/>
              <w:ind w:firstLine="28"/>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w:t>
            </w:r>
          </w:p>
        </w:tc>
        <w:tc>
          <w:tcPr>
            <w:tcW w:w="1069" w:type="dxa"/>
            <w:vMerge w:val="restart"/>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0" w:lineRule="atLeast"/>
              <w:ind w:firstLine="28"/>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服务</w:t>
            </w:r>
          </w:p>
          <w:p>
            <w:pPr>
              <w:keepNext w:val="0"/>
              <w:keepLines w:val="0"/>
              <w:pageBreakBefore w:val="0"/>
              <w:widowControl w:val="0"/>
              <w:kinsoku w:val="0"/>
              <w:wordWrap/>
              <w:overflowPunct/>
              <w:topLinePunct w:val="0"/>
              <w:autoSpaceDE w:val="0"/>
              <w:autoSpaceDN w:val="0"/>
              <w:bidi w:val="0"/>
              <w:adjustRightInd w:val="0"/>
              <w:snapToGrid w:val="0"/>
              <w:spacing w:line="0" w:lineRule="atLeast"/>
              <w:ind w:firstLine="28"/>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部分</w:t>
            </w:r>
          </w:p>
          <w:p>
            <w:pPr>
              <w:keepNext w:val="0"/>
              <w:keepLines w:val="0"/>
              <w:pageBreakBefore w:val="0"/>
              <w:widowControl w:val="0"/>
              <w:kinsoku w:val="0"/>
              <w:wordWrap/>
              <w:overflowPunct/>
              <w:topLinePunct w:val="0"/>
              <w:autoSpaceDE w:val="0"/>
              <w:autoSpaceDN w:val="0"/>
              <w:bidi w:val="0"/>
              <w:adjustRightInd w:val="0"/>
              <w:snapToGrid w:val="0"/>
              <w:spacing w:line="0" w:lineRule="atLeast"/>
              <w:ind w:firstLine="28"/>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w:t>
            </w:r>
            <w:r>
              <w:rPr>
                <w:rFonts w:hint="default" w:ascii="Times New Roman" w:hAnsi="Times New Roman" w:eastAsia="方正仿宋_GBK" w:cs="Times New Roman"/>
                <w:color w:val="000000"/>
                <w:sz w:val="24"/>
                <w:szCs w:val="24"/>
                <w:highlight w:val="none"/>
                <w:lang w:val="en-US" w:eastAsia="zh-CN"/>
              </w:rPr>
              <w:t>30</w:t>
            </w:r>
            <w:r>
              <w:rPr>
                <w:rFonts w:hint="default" w:ascii="Times New Roman" w:hAnsi="Times New Roman" w:eastAsia="方正仿宋_GBK" w:cs="Times New Roman"/>
                <w:color w:val="000000"/>
                <w:sz w:val="24"/>
                <w:szCs w:val="24"/>
                <w:highlight w:val="none"/>
              </w:rPr>
              <w:t>%</w:t>
            </w:r>
            <w:r>
              <w:rPr>
                <w:rFonts w:hint="eastAsia" w:ascii="方正仿宋_GBK" w:hAnsi="方正仿宋_GBK" w:eastAsia="方正仿宋_GBK" w:cs="方正仿宋_GBK"/>
                <w:color w:val="000000"/>
                <w:sz w:val="24"/>
                <w:szCs w:val="24"/>
                <w:highlight w:val="none"/>
              </w:rPr>
              <w:t>）</w:t>
            </w:r>
          </w:p>
        </w:tc>
        <w:tc>
          <w:tcPr>
            <w:tcW w:w="980" w:type="dxa"/>
            <w:vMerge w:val="restart"/>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0" w:lineRule="atLeast"/>
              <w:ind w:firstLine="28"/>
              <w:jc w:val="center"/>
              <w:textAlignment w:val="auto"/>
              <w:rPr>
                <w:rFonts w:hint="eastAsia" w:ascii="方正仿宋_GBK" w:hAnsi="方正仿宋_GBK" w:eastAsia="方正仿宋_GBK" w:cs="方正仿宋_GBK"/>
                <w:color w:val="000000"/>
                <w:sz w:val="24"/>
                <w:szCs w:val="24"/>
                <w:highlight w:val="none"/>
              </w:rPr>
            </w:pPr>
            <w:r>
              <w:rPr>
                <w:rFonts w:hint="eastAsia" w:ascii="Times New Roman" w:hAnsi="Times New Roman" w:eastAsia="方正仿宋_GBK" w:cs="Times New Roman"/>
                <w:color w:val="000000"/>
                <w:sz w:val="24"/>
                <w:szCs w:val="24"/>
                <w:highlight w:val="none"/>
                <w:lang w:val="en-US" w:eastAsia="zh-CN"/>
              </w:rPr>
              <w:t>30</w:t>
            </w:r>
            <w:r>
              <w:rPr>
                <w:rFonts w:hint="eastAsia" w:ascii="方正仿宋_GBK" w:hAnsi="方正仿宋_GBK" w:eastAsia="方正仿宋_GBK" w:cs="方正仿宋_GBK"/>
                <w:color w:val="000000"/>
                <w:sz w:val="24"/>
                <w:szCs w:val="24"/>
                <w:highlight w:val="none"/>
              </w:rPr>
              <w:t>分</w:t>
            </w:r>
          </w:p>
        </w:tc>
        <w:tc>
          <w:tcPr>
            <w:tcW w:w="5743"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auto"/>
              <w:rPr>
                <w:rFonts w:hint="eastAsia" w:ascii="方正仿宋_GBK" w:hAnsi="方正仿宋_GBK" w:eastAsia="方正仿宋_GBK" w:cs="方正仿宋_GBK"/>
                <w:b/>
                <w:bCs/>
                <w:color w:val="000000"/>
                <w:sz w:val="24"/>
                <w:szCs w:val="24"/>
                <w:lang w:val="en-US" w:eastAsia="zh-CN"/>
              </w:rPr>
            </w:pPr>
            <w:r>
              <w:rPr>
                <w:rFonts w:hint="default" w:ascii="方正仿宋_GBK" w:hAnsi="方正仿宋_GBK" w:eastAsia="方正仿宋_GBK" w:cs="方正仿宋_GBK"/>
                <w:b/>
                <w:bCs/>
                <w:color w:val="000000"/>
                <w:sz w:val="24"/>
                <w:szCs w:val="24"/>
                <w:lang w:val="en-US" w:eastAsia="zh-CN"/>
              </w:rPr>
              <w:t>1.</w:t>
            </w:r>
            <w:r>
              <w:rPr>
                <w:rFonts w:hint="eastAsia" w:ascii="方正仿宋_GBK" w:hAnsi="方正仿宋_GBK" w:eastAsia="方正仿宋_GBK" w:cs="方正仿宋_GBK"/>
                <w:b/>
                <w:bCs/>
                <w:color w:val="000000"/>
                <w:sz w:val="24"/>
                <w:szCs w:val="24"/>
                <w:lang w:val="en-US" w:eastAsia="zh-CN"/>
              </w:rPr>
              <w:t>项目理解与实施内容（15分）</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投标人提供详细项目实施方案。根据投标人提供的方案，评审其对本项目背景、合同条款、审计及核价等工作重难点的理解深度，以及实施方案具体工作内容的逻辑性、完整性、可行性和针对性。</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auto"/>
              <w:rPr>
                <w:rFonts w:hint="default" w:ascii="方正仿宋_GBK" w:hAnsi="方正仿宋_GBK" w:eastAsia="方正仿宋_GBK" w:cs="方正仿宋_GBK"/>
                <w:color w:val="000000"/>
                <w:sz w:val="24"/>
                <w:szCs w:val="24"/>
                <w:lang w:val="en-US"/>
              </w:rPr>
            </w:pPr>
            <w:r>
              <w:rPr>
                <w:rFonts w:hint="eastAsia" w:ascii="方正仿宋_GBK" w:hAnsi="方正仿宋_GBK" w:eastAsia="方正仿宋_GBK" w:cs="方正仿宋_GBK"/>
                <w:color w:val="000000"/>
                <w:sz w:val="24"/>
                <w:szCs w:val="24"/>
                <w:lang w:val="en-US" w:eastAsia="zh-CN"/>
              </w:rPr>
              <w:t>优（</w:t>
            </w:r>
            <w:r>
              <w:rPr>
                <w:rFonts w:hint="default" w:ascii="Times New Roman" w:hAnsi="Times New Roman" w:cs="Times New Roman"/>
                <w:color w:val="000000"/>
                <w:sz w:val="24"/>
                <w:szCs w:val="24"/>
                <w:lang w:val="en-US" w:eastAsia="zh-CN"/>
              </w:rPr>
              <w:t>12</w:t>
            </w:r>
            <w:r>
              <w:rPr>
                <w:rFonts w:hint="default" w:ascii="Times New Roman" w:hAnsi="Times New Roman" w:eastAsia="方正仿宋_GBK" w:cs="Times New Roman"/>
                <w:color w:val="000000"/>
                <w:sz w:val="24"/>
                <w:szCs w:val="24"/>
                <w:lang w:val="en-US" w:eastAsia="zh-CN"/>
              </w:rPr>
              <w:t>-</w:t>
            </w:r>
            <w:r>
              <w:rPr>
                <w:rFonts w:hint="default" w:ascii="Times New Roman" w:hAnsi="Times New Roman" w:cs="Times New Roman"/>
                <w:color w:val="000000"/>
                <w:sz w:val="24"/>
                <w:szCs w:val="24"/>
                <w:lang w:val="en-US" w:eastAsia="zh-CN"/>
              </w:rPr>
              <w:t>15</w:t>
            </w:r>
            <w:r>
              <w:rPr>
                <w:rFonts w:hint="eastAsia" w:ascii="方正仿宋_GBK" w:hAnsi="方正仿宋_GBK" w:eastAsia="方正仿宋_GBK" w:cs="方正仿宋_GBK"/>
                <w:color w:val="000000"/>
                <w:sz w:val="24"/>
                <w:szCs w:val="24"/>
                <w:lang w:val="en-US" w:eastAsia="zh-CN"/>
              </w:rPr>
              <w:t>分）；良（</w:t>
            </w:r>
            <w:r>
              <w:rPr>
                <w:rFonts w:hint="eastAsia" w:ascii="Times New Roman" w:hAnsi="Times New Roman" w:cs="Times New Roman"/>
                <w:color w:val="000000"/>
                <w:sz w:val="24"/>
                <w:szCs w:val="24"/>
                <w:lang w:val="en-US" w:eastAsia="zh-CN"/>
              </w:rPr>
              <w:t>8-11</w:t>
            </w:r>
            <w:r>
              <w:rPr>
                <w:rFonts w:hint="eastAsia" w:ascii="方正仿宋_GBK" w:hAnsi="方正仿宋_GBK" w:eastAsia="方正仿宋_GBK" w:cs="方正仿宋_GBK"/>
                <w:color w:val="000000"/>
                <w:sz w:val="24"/>
                <w:szCs w:val="24"/>
                <w:lang w:val="en-US" w:eastAsia="zh-CN"/>
              </w:rPr>
              <w:t>分）；中（</w:t>
            </w:r>
            <w:r>
              <w:rPr>
                <w:rFonts w:hint="eastAsia" w:ascii="Times New Roman" w:hAnsi="Times New Roman" w:cs="Times New Roman"/>
                <w:color w:val="000000"/>
                <w:sz w:val="24"/>
                <w:szCs w:val="24"/>
                <w:lang w:val="en-US" w:eastAsia="zh-CN"/>
              </w:rPr>
              <w:t>4-7</w:t>
            </w:r>
            <w:r>
              <w:rPr>
                <w:rFonts w:hint="eastAsia" w:ascii="方正仿宋_GBK" w:hAnsi="方正仿宋_GBK" w:eastAsia="方正仿宋_GBK" w:cs="方正仿宋_GBK"/>
                <w:color w:val="000000"/>
                <w:sz w:val="24"/>
                <w:szCs w:val="24"/>
                <w:lang w:val="en-US" w:eastAsia="zh-CN"/>
              </w:rPr>
              <w:t>分）；差（</w:t>
            </w:r>
            <w:r>
              <w:rPr>
                <w:rFonts w:hint="eastAsia" w:ascii="Times New Roman" w:hAnsi="Times New Roman" w:cs="Times New Roman"/>
                <w:color w:val="000000"/>
                <w:sz w:val="24"/>
                <w:szCs w:val="24"/>
                <w:lang w:val="en-US" w:eastAsia="zh-CN"/>
              </w:rPr>
              <w:t>0-3</w:t>
            </w:r>
            <w:r>
              <w:rPr>
                <w:rFonts w:hint="eastAsia" w:ascii="方正仿宋_GBK" w:hAnsi="方正仿宋_GBK" w:eastAsia="方正仿宋_GBK" w:cs="方正仿宋_GBK"/>
                <w:color w:val="000000"/>
                <w:sz w:val="24"/>
                <w:szCs w:val="24"/>
                <w:lang w:val="en-US" w:eastAsia="zh-CN"/>
              </w:rPr>
              <w:t>分）</w:t>
            </w:r>
            <w:r>
              <w:rPr>
                <w:rFonts w:hint="eastAsia" w:ascii="方正仿宋_GBK" w:hAnsi="方正仿宋_GBK" w:cs="方正仿宋_GBK"/>
                <w:color w:val="000000"/>
                <w:sz w:val="24"/>
                <w:szCs w:val="24"/>
                <w:lang w:val="en-US" w:eastAsia="zh-CN"/>
              </w:rPr>
              <w:t>。</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未提供不得分。</w:t>
            </w:r>
          </w:p>
        </w:tc>
        <w:tc>
          <w:tcPr>
            <w:tcW w:w="1594" w:type="dxa"/>
            <w:vMerge w:val="restart"/>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供应商须提供服务方案，评审小组将根据供应商提供的服务方案优劣情况进行综合评分，格式自定。</w:t>
            </w:r>
            <w:r>
              <w:rPr>
                <w:rFonts w:hint="eastAsia" w:ascii="方正仿宋_GBK" w:hAnsi="方正仿宋_GBK" w:eastAsia="方正仿宋_GBK" w:cs="方正仿宋_GBK"/>
                <w:bCs/>
                <w:color w:val="000000"/>
                <w:sz w:val="24"/>
                <w:szCs w:val="24"/>
                <w:lang w:val="zh-CN"/>
              </w:rPr>
              <w:t>各供应商服务部分得分为各专家打分的算术平均值。计算结果保留小数点后两位，第三位四舍五入。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vMerge w:val="continue"/>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0" w:lineRule="atLeast"/>
              <w:ind w:firstLine="28"/>
              <w:jc w:val="left"/>
              <w:textAlignment w:val="auto"/>
              <w:rPr>
                <w:rFonts w:hint="default" w:ascii="Times New Roman" w:hAnsi="Times New Roman" w:eastAsia="方正仿宋_GBK" w:cs="Times New Roman"/>
                <w:color w:val="000000"/>
                <w:sz w:val="24"/>
                <w:szCs w:val="24"/>
              </w:rPr>
            </w:pPr>
          </w:p>
        </w:tc>
        <w:tc>
          <w:tcPr>
            <w:tcW w:w="1069" w:type="dxa"/>
            <w:vMerge w:val="continue"/>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0" w:lineRule="atLeast"/>
              <w:ind w:firstLine="28"/>
              <w:jc w:val="left"/>
              <w:textAlignment w:val="auto"/>
              <w:rPr>
                <w:rFonts w:hint="eastAsia" w:ascii="方正仿宋_GBK" w:hAnsi="方正仿宋_GBK" w:eastAsia="方正仿宋_GBK" w:cs="方正仿宋_GBK"/>
                <w:color w:val="000000"/>
                <w:sz w:val="24"/>
                <w:szCs w:val="24"/>
                <w:highlight w:val="cyan"/>
              </w:rPr>
            </w:pPr>
          </w:p>
        </w:tc>
        <w:tc>
          <w:tcPr>
            <w:tcW w:w="980" w:type="dxa"/>
            <w:vMerge w:val="continue"/>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0" w:lineRule="atLeast"/>
              <w:ind w:firstLine="28"/>
              <w:jc w:val="left"/>
              <w:textAlignment w:val="auto"/>
              <w:rPr>
                <w:rFonts w:hint="eastAsia" w:ascii="方正仿宋_GBK" w:hAnsi="方正仿宋_GBK" w:eastAsia="方正仿宋_GBK" w:cs="方正仿宋_GBK"/>
                <w:color w:val="000000"/>
                <w:sz w:val="24"/>
                <w:szCs w:val="24"/>
                <w:highlight w:val="cyan"/>
              </w:rPr>
            </w:pPr>
          </w:p>
        </w:tc>
        <w:tc>
          <w:tcPr>
            <w:tcW w:w="5743"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auto"/>
              <w:rPr>
                <w:rFonts w:hint="eastAsia" w:ascii="方正仿宋_GBK" w:hAnsi="方正仿宋_GBK" w:eastAsia="方正仿宋_GBK" w:cs="方正仿宋_GBK"/>
                <w:b/>
                <w:bCs/>
                <w:color w:val="000000"/>
                <w:sz w:val="24"/>
                <w:szCs w:val="24"/>
                <w:lang w:val="en-US" w:eastAsia="zh-CN"/>
              </w:rPr>
            </w:pPr>
            <w:r>
              <w:rPr>
                <w:rFonts w:hint="default" w:ascii="方正仿宋_GBK" w:hAnsi="方正仿宋_GBK" w:eastAsia="方正仿宋_GBK" w:cs="方正仿宋_GBK"/>
                <w:b/>
                <w:bCs/>
                <w:color w:val="000000"/>
                <w:sz w:val="24"/>
                <w:szCs w:val="24"/>
                <w:lang w:val="en-US" w:eastAsia="zh-CN"/>
              </w:rPr>
              <w:t>2.</w:t>
            </w:r>
            <w:r>
              <w:rPr>
                <w:rFonts w:hint="eastAsia" w:ascii="方正仿宋_GBK" w:hAnsi="方正仿宋_GBK" w:eastAsia="方正仿宋_GBK" w:cs="方正仿宋_GBK"/>
                <w:b/>
                <w:bCs/>
                <w:color w:val="000000"/>
                <w:sz w:val="24"/>
                <w:szCs w:val="24"/>
                <w:lang w:val="en-US" w:eastAsia="zh-CN"/>
              </w:rPr>
              <w:t>项目团队配置与管理措施（5分）</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投标人</w:t>
            </w:r>
            <w:r>
              <w:rPr>
                <w:rFonts w:hint="eastAsia" w:ascii="方正仿宋_GBK" w:hAnsi="方正仿宋_GBK" w:eastAsia="方正仿宋_GBK" w:cs="方正仿宋_GBK"/>
                <w:color w:val="000000"/>
                <w:sz w:val="24"/>
                <w:szCs w:val="24"/>
              </w:rPr>
              <w:t>提供详细项目实施方案。</w:t>
            </w:r>
            <w:r>
              <w:rPr>
                <w:rFonts w:hint="eastAsia" w:ascii="方正仿宋_GBK" w:hAnsi="方正仿宋_GBK" w:eastAsia="方正仿宋_GBK" w:cs="方正仿宋_GBK"/>
                <w:color w:val="000000"/>
                <w:sz w:val="24"/>
                <w:szCs w:val="24"/>
                <w:lang w:val="en-US" w:eastAsia="zh-CN"/>
              </w:rPr>
              <w:t>根据方案中投标人拟派的项目负责人及核心成员的从业经验、类似项目业绩、管理措施等进行综合评价。</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auto"/>
              <w:rPr>
                <w:rFonts w:hint="eastAsia" w:ascii="方正仿宋_GBK" w:hAnsi="方正仿宋_GBK" w:eastAsia="方正仿宋_GBK" w:cs="方正仿宋_GBK"/>
                <w:color w:val="000000"/>
                <w:sz w:val="24"/>
                <w:szCs w:val="24"/>
                <w:lang w:val="en-US"/>
              </w:rPr>
            </w:pPr>
            <w:r>
              <w:rPr>
                <w:rFonts w:hint="eastAsia" w:ascii="方正仿宋_GBK" w:hAnsi="方正仿宋_GBK" w:eastAsia="方正仿宋_GBK" w:cs="方正仿宋_GBK"/>
                <w:color w:val="000000"/>
                <w:sz w:val="24"/>
                <w:szCs w:val="24"/>
                <w:lang w:val="en-US" w:eastAsia="zh-CN"/>
              </w:rPr>
              <w:t>优（</w:t>
            </w:r>
            <w:r>
              <w:rPr>
                <w:rFonts w:hint="default" w:ascii="Times New Roman" w:hAnsi="Times New Roman" w:eastAsia="方正仿宋_GBK" w:cs="Times New Roman"/>
                <w:color w:val="000000"/>
                <w:sz w:val="24"/>
                <w:szCs w:val="24"/>
                <w:lang w:val="en-US" w:eastAsia="zh-CN"/>
              </w:rPr>
              <w:t>4-5</w:t>
            </w:r>
            <w:r>
              <w:rPr>
                <w:rFonts w:hint="eastAsia" w:ascii="方正仿宋_GBK" w:hAnsi="方正仿宋_GBK" w:eastAsia="方正仿宋_GBK" w:cs="方正仿宋_GBK"/>
                <w:color w:val="000000"/>
                <w:sz w:val="24"/>
                <w:szCs w:val="24"/>
                <w:lang w:val="en-US" w:eastAsia="zh-CN"/>
              </w:rPr>
              <w:t>分）；良（</w:t>
            </w:r>
            <w:r>
              <w:rPr>
                <w:rFonts w:hint="eastAsia" w:ascii="Times New Roman" w:hAnsi="Times New Roman" w:eastAsia="方正仿宋_GBK" w:cs="Times New Roman"/>
                <w:color w:val="000000"/>
                <w:sz w:val="24"/>
                <w:szCs w:val="24"/>
                <w:lang w:val="en-US" w:eastAsia="zh-CN"/>
              </w:rPr>
              <w:t>2-3</w:t>
            </w:r>
            <w:r>
              <w:rPr>
                <w:rFonts w:hint="eastAsia" w:ascii="方正仿宋_GBK" w:hAnsi="方正仿宋_GBK" w:eastAsia="方正仿宋_GBK" w:cs="方正仿宋_GBK"/>
                <w:color w:val="000000"/>
                <w:sz w:val="24"/>
                <w:szCs w:val="24"/>
                <w:lang w:val="en-US" w:eastAsia="zh-CN"/>
              </w:rPr>
              <w:t>分）；差（</w:t>
            </w:r>
            <w:r>
              <w:rPr>
                <w:rFonts w:hint="eastAsia" w:ascii="Times New Roman" w:hAnsi="Times New Roman" w:eastAsia="方正仿宋_GBK" w:cs="Times New Roman"/>
                <w:color w:val="000000"/>
                <w:sz w:val="24"/>
                <w:szCs w:val="24"/>
                <w:lang w:val="en-US" w:eastAsia="zh-CN"/>
              </w:rPr>
              <w:t>0-1</w:t>
            </w:r>
            <w:r>
              <w:rPr>
                <w:rFonts w:hint="eastAsia" w:ascii="方正仿宋_GBK" w:hAnsi="方正仿宋_GBK" w:eastAsia="方正仿宋_GBK" w:cs="方正仿宋_GBK"/>
                <w:color w:val="000000"/>
                <w:sz w:val="24"/>
                <w:szCs w:val="24"/>
                <w:lang w:val="en-US" w:eastAsia="zh-CN"/>
              </w:rPr>
              <w:t>分）。</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未提供不得分。</w:t>
            </w:r>
          </w:p>
        </w:tc>
        <w:tc>
          <w:tcPr>
            <w:tcW w:w="1594" w:type="dxa"/>
            <w:vMerge w:val="continue"/>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auto"/>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vMerge w:val="continue"/>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0" w:lineRule="atLeast"/>
              <w:ind w:firstLine="28"/>
              <w:jc w:val="left"/>
              <w:textAlignment w:val="auto"/>
              <w:rPr>
                <w:rFonts w:hint="default" w:ascii="Times New Roman" w:hAnsi="Times New Roman" w:eastAsia="方正仿宋_GBK" w:cs="Times New Roman"/>
                <w:color w:val="000000"/>
                <w:sz w:val="24"/>
                <w:szCs w:val="24"/>
              </w:rPr>
            </w:pPr>
          </w:p>
        </w:tc>
        <w:tc>
          <w:tcPr>
            <w:tcW w:w="1069" w:type="dxa"/>
            <w:vMerge w:val="continue"/>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0" w:lineRule="atLeast"/>
              <w:ind w:firstLine="28"/>
              <w:jc w:val="left"/>
              <w:textAlignment w:val="auto"/>
              <w:rPr>
                <w:rFonts w:hint="eastAsia" w:ascii="方正仿宋_GBK" w:hAnsi="方正仿宋_GBK" w:eastAsia="方正仿宋_GBK" w:cs="方正仿宋_GBK"/>
                <w:color w:val="000000"/>
                <w:sz w:val="24"/>
                <w:szCs w:val="24"/>
                <w:highlight w:val="cyan"/>
              </w:rPr>
            </w:pPr>
          </w:p>
        </w:tc>
        <w:tc>
          <w:tcPr>
            <w:tcW w:w="980" w:type="dxa"/>
            <w:vMerge w:val="continue"/>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0" w:lineRule="atLeast"/>
              <w:ind w:firstLine="28"/>
              <w:jc w:val="left"/>
              <w:textAlignment w:val="auto"/>
              <w:rPr>
                <w:rFonts w:hint="eastAsia" w:ascii="方正仿宋_GBK" w:hAnsi="方正仿宋_GBK" w:eastAsia="方正仿宋_GBK" w:cs="方正仿宋_GBK"/>
                <w:color w:val="000000"/>
                <w:sz w:val="24"/>
                <w:szCs w:val="24"/>
                <w:highlight w:val="cyan"/>
              </w:rPr>
            </w:pPr>
          </w:p>
        </w:tc>
        <w:tc>
          <w:tcPr>
            <w:tcW w:w="5743"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auto"/>
              <w:rPr>
                <w:rFonts w:hint="eastAsia" w:ascii="方正仿宋_GBK" w:hAnsi="方正仿宋_GBK" w:eastAsia="方正仿宋_GBK" w:cs="方正仿宋_GBK"/>
                <w:b/>
                <w:bCs/>
                <w:color w:val="000000"/>
                <w:sz w:val="24"/>
                <w:szCs w:val="24"/>
                <w:lang w:val="en-US" w:eastAsia="zh-CN"/>
              </w:rPr>
            </w:pPr>
            <w:r>
              <w:rPr>
                <w:rFonts w:hint="default" w:ascii="方正仿宋_GBK" w:hAnsi="方正仿宋_GBK" w:eastAsia="方正仿宋_GBK" w:cs="方正仿宋_GBK"/>
                <w:b/>
                <w:bCs/>
                <w:color w:val="000000"/>
                <w:sz w:val="24"/>
                <w:szCs w:val="24"/>
                <w:lang w:val="en-US" w:eastAsia="zh-CN"/>
              </w:rPr>
              <w:t>3.</w:t>
            </w:r>
            <w:r>
              <w:rPr>
                <w:rFonts w:hint="eastAsia" w:ascii="方正仿宋_GBK" w:hAnsi="方正仿宋_GBK" w:eastAsia="方正仿宋_GBK" w:cs="方正仿宋_GBK"/>
                <w:b/>
                <w:bCs/>
                <w:color w:val="000000"/>
                <w:sz w:val="24"/>
                <w:szCs w:val="24"/>
                <w:lang w:val="en-US" w:eastAsia="zh-CN"/>
              </w:rPr>
              <w:t>质量、进度与风险控制（10分）</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投标人提供详细项目实施方案。根据投标人方案中的质量保证体系、进度管理方法、风险识别与应对预案、保密管理制度等进行综合评分。</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优（</w:t>
            </w:r>
            <w:r>
              <w:rPr>
                <w:rFonts w:hint="default" w:ascii="Times New Roman" w:hAnsi="Times New Roman" w:eastAsia="方正仿宋_GBK" w:cs="Times New Roman"/>
                <w:color w:val="000000"/>
                <w:sz w:val="24"/>
                <w:szCs w:val="24"/>
                <w:lang w:val="en-US" w:eastAsia="zh-CN"/>
              </w:rPr>
              <w:t>8-10</w:t>
            </w:r>
            <w:r>
              <w:rPr>
                <w:rFonts w:hint="eastAsia" w:ascii="方正仿宋_GBK" w:hAnsi="方正仿宋_GBK" w:eastAsia="方正仿宋_GBK" w:cs="方正仿宋_GBK"/>
                <w:color w:val="000000"/>
                <w:sz w:val="24"/>
                <w:szCs w:val="24"/>
                <w:lang w:val="en-US" w:eastAsia="zh-CN"/>
              </w:rPr>
              <w:t>分）；良（</w:t>
            </w:r>
            <w:r>
              <w:rPr>
                <w:rFonts w:hint="eastAsia" w:ascii="Times New Roman" w:hAnsi="Times New Roman" w:eastAsia="方正仿宋_GBK" w:cs="Times New Roman"/>
                <w:color w:val="000000"/>
                <w:sz w:val="24"/>
                <w:szCs w:val="24"/>
                <w:lang w:val="en-US" w:eastAsia="zh-CN"/>
              </w:rPr>
              <w:t>5-7</w:t>
            </w:r>
            <w:r>
              <w:rPr>
                <w:rFonts w:hint="eastAsia" w:ascii="方正仿宋_GBK" w:hAnsi="方正仿宋_GBK" w:eastAsia="方正仿宋_GBK" w:cs="方正仿宋_GBK"/>
                <w:color w:val="000000"/>
                <w:sz w:val="24"/>
                <w:szCs w:val="24"/>
                <w:lang w:val="en-US" w:eastAsia="zh-CN"/>
              </w:rPr>
              <w:t>分）；差（</w:t>
            </w:r>
            <w:r>
              <w:rPr>
                <w:rFonts w:hint="eastAsia" w:ascii="Times New Roman" w:hAnsi="Times New Roman" w:eastAsia="方正仿宋_GBK" w:cs="Times New Roman"/>
                <w:color w:val="000000"/>
                <w:sz w:val="24"/>
                <w:szCs w:val="24"/>
                <w:lang w:val="en-US" w:eastAsia="zh-CN"/>
              </w:rPr>
              <w:t>0-4</w:t>
            </w:r>
            <w:r>
              <w:rPr>
                <w:rFonts w:hint="eastAsia" w:ascii="方正仿宋_GBK" w:hAnsi="方正仿宋_GBK" w:eastAsia="方正仿宋_GBK" w:cs="方正仿宋_GBK"/>
                <w:color w:val="000000"/>
                <w:sz w:val="24"/>
                <w:szCs w:val="24"/>
                <w:lang w:val="en-US" w:eastAsia="zh-CN"/>
              </w:rPr>
              <w:t>分）。</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未提供不得分。</w:t>
            </w:r>
          </w:p>
        </w:tc>
        <w:tc>
          <w:tcPr>
            <w:tcW w:w="1594" w:type="dxa"/>
            <w:vMerge w:val="continue"/>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auto"/>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605" w:type="dxa"/>
            <w:vMerge w:val="restart"/>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0" w:lineRule="atLeast"/>
              <w:ind w:firstLine="28"/>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w:t>
            </w:r>
          </w:p>
          <w:p>
            <w:pPr>
              <w:keepNext w:val="0"/>
              <w:keepLines w:val="0"/>
              <w:pageBreakBefore w:val="0"/>
              <w:widowControl w:val="0"/>
              <w:kinsoku w:val="0"/>
              <w:wordWrap/>
              <w:overflowPunct/>
              <w:topLinePunct w:val="0"/>
              <w:autoSpaceDE w:val="0"/>
              <w:autoSpaceDN w:val="0"/>
              <w:bidi w:val="0"/>
              <w:adjustRightInd w:val="0"/>
              <w:snapToGrid w:val="0"/>
              <w:spacing w:line="0" w:lineRule="atLeast"/>
              <w:ind w:firstLine="28"/>
              <w:jc w:val="center"/>
              <w:textAlignment w:val="auto"/>
              <w:rPr>
                <w:rFonts w:hint="default" w:ascii="Times New Roman" w:hAnsi="Times New Roman" w:eastAsia="方正仿宋_GBK" w:cs="Times New Roman"/>
                <w:color w:val="000000"/>
                <w:sz w:val="24"/>
                <w:szCs w:val="24"/>
              </w:rPr>
            </w:pPr>
          </w:p>
        </w:tc>
        <w:tc>
          <w:tcPr>
            <w:tcW w:w="1069" w:type="dxa"/>
            <w:vMerge w:val="restart"/>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0" w:lineRule="atLeast"/>
              <w:ind w:firstLine="28"/>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商务</w:t>
            </w:r>
          </w:p>
          <w:p>
            <w:pPr>
              <w:keepNext w:val="0"/>
              <w:keepLines w:val="0"/>
              <w:pageBreakBefore w:val="0"/>
              <w:widowControl w:val="0"/>
              <w:kinsoku w:val="0"/>
              <w:wordWrap/>
              <w:overflowPunct/>
              <w:topLinePunct w:val="0"/>
              <w:autoSpaceDE w:val="0"/>
              <w:autoSpaceDN w:val="0"/>
              <w:bidi w:val="0"/>
              <w:adjustRightInd w:val="0"/>
              <w:snapToGrid w:val="0"/>
              <w:spacing w:line="0" w:lineRule="atLeast"/>
              <w:ind w:firstLine="28"/>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部分</w:t>
            </w:r>
          </w:p>
          <w:p>
            <w:pPr>
              <w:keepNext w:val="0"/>
              <w:keepLines w:val="0"/>
              <w:pageBreakBefore w:val="0"/>
              <w:widowControl w:val="0"/>
              <w:kinsoku w:val="0"/>
              <w:wordWrap/>
              <w:overflowPunct/>
              <w:topLinePunct w:val="0"/>
              <w:autoSpaceDE w:val="0"/>
              <w:autoSpaceDN w:val="0"/>
              <w:bidi w:val="0"/>
              <w:adjustRightInd w:val="0"/>
              <w:snapToGrid w:val="0"/>
              <w:spacing w:line="0" w:lineRule="atLeast"/>
              <w:ind w:firstLine="28"/>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eastAsia" w:ascii="方正仿宋_GBK" w:hAnsi="方正仿宋_GBK" w:eastAsia="方正仿宋_GBK" w:cs="方正仿宋_GBK"/>
                <w:color w:val="000000"/>
                <w:sz w:val="24"/>
                <w:szCs w:val="24"/>
                <w:highlight w:val="none"/>
              </w:rPr>
              <w:t>）</w:t>
            </w:r>
          </w:p>
        </w:tc>
        <w:tc>
          <w:tcPr>
            <w:tcW w:w="980" w:type="dxa"/>
            <w:vMerge w:val="restart"/>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120" w:beforeLines="50" w:after="120" w:afterLines="50" w:line="0" w:lineRule="atLeast"/>
              <w:jc w:val="center"/>
              <w:textAlignment w:val="auto"/>
              <w:rPr>
                <w:rFonts w:hint="eastAsia" w:ascii="方正仿宋_GBK" w:hAnsi="方正仿宋_GBK" w:eastAsia="方正仿宋_GBK" w:cs="方正仿宋_GBK"/>
                <w:color w:val="000000"/>
                <w:sz w:val="24"/>
                <w:szCs w:val="24"/>
                <w:highlight w:val="none"/>
              </w:rPr>
            </w:pPr>
            <w:r>
              <w:rPr>
                <w:rFonts w:hint="eastAsia" w:ascii="Times New Roman" w:hAnsi="Times New Roman" w:eastAsia="方正仿宋_GBK" w:cs="Times New Roman"/>
                <w:color w:val="000000"/>
                <w:sz w:val="24"/>
                <w:szCs w:val="24"/>
                <w:highlight w:val="none"/>
                <w:lang w:val="en-US" w:eastAsia="zh-CN"/>
              </w:rPr>
              <w:t>10</w:t>
            </w:r>
            <w:r>
              <w:rPr>
                <w:rFonts w:hint="eastAsia" w:ascii="方正仿宋_GBK" w:hAnsi="方正仿宋_GBK" w:eastAsia="方正仿宋_GBK" w:cs="方正仿宋_GBK"/>
                <w:color w:val="000000"/>
                <w:sz w:val="24"/>
                <w:szCs w:val="24"/>
                <w:highlight w:val="none"/>
              </w:rPr>
              <w:t>分</w:t>
            </w:r>
          </w:p>
        </w:tc>
        <w:tc>
          <w:tcPr>
            <w:tcW w:w="5743" w:type="dxa"/>
            <w:noWrap w:val="0"/>
            <w:vAlign w:val="top"/>
          </w:tcPr>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auto"/>
              <w:rPr>
                <w:rFonts w:hint="eastAsia" w:ascii="方正仿宋_GBK" w:hAnsi="方正仿宋_GBK" w:eastAsia="方正仿宋_GBK" w:cs="方正仿宋_GBK"/>
                <w:b/>
                <w:bCs/>
                <w:sz w:val="24"/>
                <w:szCs w:val="24"/>
              </w:rPr>
            </w:pPr>
            <w:bookmarkStart w:id="46" w:name="OLE_LINK10"/>
            <w:r>
              <w:rPr>
                <w:rFonts w:hint="default" w:ascii="Times New Roman" w:hAnsi="Times New Roman" w:eastAsia="方正仿宋_GBK" w:cs="Times New Roman"/>
                <w:b/>
                <w:bCs/>
                <w:sz w:val="24"/>
                <w:szCs w:val="24"/>
              </w:rPr>
              <w:t>1.</w:t>
            </w:r>
            <w:r>
              <w:rPr>
                <w:rFonts w:hint="eastAsia" w:ascii="方正仿宋_GBK" w:hAnsi="方正仿宋_GBK" w:eastAsia="方正仿宋_GBK" w:cs="方正仿宋_GBK"/>
                <w:b/>
                <w:bCs/>
                <w:sz w:val="24"/>
                <w:szCs w:val="24"/>
              </w:rPr>
              <w:t>投标人业绩（</w:t>
            </w:r>
            <w:r>
              <w:rPr>
                <w:rFonts w:hint="eastAsia" w:ascii="方正仿宋_GBK" w:hAnsi="方正仿宋_GBK" w:eastAsia="方正仿宋_GBK" w:cs="方正仿宋_GBK"/>
                <w:b/>
                <w:bCs/>
                <w:sz w:val="24"/>
                <w:szCs w:val="24"/>
                <w:lang w:val="en-US" w:eastAsia="zh-CN"/>
              </w:rPr>
              <w:t>5</w:t>
            </w:r>
            <w:r>
              <w:rPr>
                <w:rFonts w:hint="eastAsia" w:ascii="方正仿宋_GBK" w:hAnsi="方正仿宋_GBK" w:eastAsia="方正仿宋_GBK" w:cs="方正仿宋_GBK"/>
                <w:b/>
                <w:bCs/>
                <w:sz w:val="24"/>
                <w:szCs w:val="24"/>
              </w:rPr>
              <w:t>分）</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供应商提供自2022年1月1日以来对“合同金额1000万以上的信息系统或软件开发项目”进行结算审计或造价咨询的业绩。每提供1个符合要求的业绩得2.5分，本项最高得5分。未提供或者提供的业绩不符合要求不得分。</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供应商提供服务业绩合同或协议关键页（包含但不限于合同金额、签署日期、合同主体、采购内容）复印件并加盖供应商公章。</w:t>
            </w:r>
          </w:p>
        </w:tc>
        <w:tc>
          <w:tcPr>
            <w:tcW w:w="1594"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供应商提供服务业绩合同或协议复印件并加盖供应商公章。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605" w:type="dxa"/>
            <w:vMerge w:val="continue"/>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0" w:lineRule="atLeast"/>
              <w:ind w:firstLine="28"/>
              <w:jc w:val="left"/>
              <w:textAlignment w:val="auto"/>
              <w:rPr>
                <w:rFonts w:hint="eastAsia" w:ascii="方正仿宋_GBK" w:hAnsi="方正仿宋_GBK" w:eastAsia="方正仿宋_GBK" w:cs="方正仿宋_GBK"/>
                <w:color w:val="000000"/>
                <w:sz w:val="24"/>
                <w:szCs w:val="24"/>
              </w:rPr>
            </w:pPr>
          </w:p>
        </w:tc>
        <w:tc>
          <w:tcPr>
            <w:tcW w:w="1069" w:type="dxa"/>
            <w:vMerge w:val="continue"/>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0" w:lineRule="atLeast"/>
              <w:ind w:firstLine="28"/>
              <w:jc w:val="left"/>
              <w:textAlignment w:val="auto"/>
              <w:rPr>
                <w:rFonts w:hint="eastAsia" w:ascii="方正仿宋_GBK" w:hAnsi="方正仿宋_GBK" w:eastAsia="方正仿宋_GBK" w:cs="方正仿宋_GBK"/>
                <w:color w:val="000000"/>
                <w:sz w:val="24"/>
                <w:szCs w:val="24"/>
              </w:rPr>
            </w:pPr>
          </w:p>
        </w:tc>
        <w:tc>
          <w:tcPr>
            <w:tcW w:w="980" w:type="dxa"/>
            <w:vMerge w:val="continue"/>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0" w:lineRule="atLeast"/>
              <w:ind w:firstLine="28"/>
              <w:jc w:val="left"/>
              <w:textAlignment w:val="auto"/>
              <w:rPr>
                <w:rFonts w:hint="eastAsia" w:ascii="方正仿宋_GBK" w:hAnsi="方正仿宋_GBK" w:eastAsia="方正仿宋_GBK" w:cs="方正仿宋_GBK"/>
                <w:color w:val="000000"/>
                <w:sz w:val="24"/>
                <w:szCs w:val="24"/>
              </w:rPr>
            </w:pPr>
          </w:p>
        </w:tc>
        <w:tc>
          <w:tcPr>
            <w:tcW w:w="5743" w:type="dxa"/>
            <w:noWrap w:val="0"/>
            <w:vAlign w:val="top"/>
          </w:tcPr>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auto"/>
              <w:rPr>
                <w:rFonts w:hint="eastAsia" w:ascii="方正仿宋_GBK" w:hAnsi="方正仿宋_GBK" w:eastAsia="方正仿宋_GBK" w:cs="方正仿宋_GBK"/>
                <w:b/>
                <w:bCs/>
                <w:sz w:val="24"/>
                <w:szCs w:val="24"/>
              </w:rPr>
            </w:pPr>
            <w:r>
              <w:rPr>
                <w:rFonts w:hint="default" w:ascii="Times New Roman" w:hAnsi="Times New Roman" w:eastAsia="方正仿宋_GBK" w:cs="Times New Roman"/>
                <w:b/>
                <w:bCs/>
                <w:sz w:val="24"/>
                <w:szCs w:val="24"/>
              </w:rPr>
              <w:t>2.</w:t>
            </w:r>
            <w:r>
              <w:rPr>
                <w:rFonts w:hint="eastAsia" w:ascii="方正仿宋_GBK" w:hAnsi="方正仿宋_GBK" w:eastAsia="方正仿宋_GBK" w:cs="方正仿宋_GBK"/>
                <w:b/>
                <w:bCs/>
                <w:sz w:val="24"/>
                <w:szCs w:val="24"/>
              </w:rPr>
              <w:t>拟派</w:t>
            </w:r>
            <w:r>
              <w:rPr>
                <w:rFonts w:hint="eastAsia" w:ascii="方正仿宋_GBK" w:hAnsi="方正仿宋_GBK" w:eastAsia="方正仿宋_GBK" w:cs="方正仿宋_GBK"/>
                <w:b/>
                <w:bCs/>
                <w:sz w:val="24"/>
                <w:szCs w:val="24"/>
                <w:lang w:val="en-US" w:eastAsia="zh-CN"/>
              </w:rPr>
              <w:t>服务团队</w:t>
            </w:r>
            <w:r>
              <w:rPr>
                <w:rFonts w:hint="eastAsia" w:ascii="方正仿宋_GBK" w:hAnsi="方正仿宋_GBK" w:eastAsia="方正仿宋_GBK" w:cs="方正仿宋_GBK"/>
                <w:b/>
                <w:bCs/>
                <w:sz w:val="24"/>
                <w:szCs w:val="24"/>
              </w:rPr>
              <w:t>人员</w:t>
            </w:r>
            <w:r>
              <w:rPr>
                <w:rFonts w:hint="eastAsia" w:ascii="方正仿宋_GBK" w:hAnsi="方正仿宋_GBK" w:eastAsia="方正仿宋_GBK" w:cs="方正仿宋_GBK"/>
                <w:b/>
                <w:bCs/>
                <w:sz w:val="24"/>
                <w:szCs w:val="24"/>
                <w:lang w:val="en-US" w:eastAsia="zh-CN"/>
              </w:rPr>
              <w:t>资质</w:t>
            </w:r>
            <w:r>
              <w:rPr>
                <w:rFonts w:hint="eastAsia" w:ascii="方正仿宋_GBK" w:hAnsi="方正仿宋_GBK" w:eastAsia="方正仿宋_GBK" w:cs="方正仿宋_GBK"/>
                <w:b/>
                <w:bCs/>
                <w:sz w:val="24"/>
                <w:szCs w:val="24"/>
              </w:rPr>
              <w:t>（</w:t>
            </w:r>
            <w:r>
              <w:rPr>
                <w:rFonts w:hint="eastAsia" w:ascii="方正仿宋_GBK" w:hAnsi="方正仿宋_GBK" w:eastAsia="方正仿宋_GBK" w:cs="方正仿宋_GBK"/>
                <w:b/>
                <w:bCs/>
                <w:sz w:val="24"/>
                <w:szCs w:val="24"/>
                <w:lang w:val="en-US" w:eastAsia="zh-CN"/>
              </w:rPr>
              <w:t>5</w:t>
            </w:r>
            <w:r>
              <w:rPr>
                <w:rFonts w:hint="eastAsia" w:ascii="方正仿宋_GBK" w:hAnsi="方正仿宋_GBK" w:eastAsia="方正仿宋_GBK" w:cs="方正仿宋_GBK"/>
                <w:b/>
                <w:bCs/>
                <w:sz w:val="24"/>
                <w:szCs w:val="24"/>
              </w:rPr>
              <w:t>分）</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团队人员中具有</w:t>
            </w:r>
            <w:r>
              <w:rPr>
                <w:rFonts w:hint="eastAsia" w:ascii="方正仿宋_GBK" w:hAnsi="方正仿宋_GBK" w:eastAsia="方正仿宋_GBK" w:cs="方正仿宋_GBK"/>
                <w:sz w:val="24"/>
                <w:szCs w:val="24"/>
                <w:highlight w:val="none"/>
                <w:lang w:val="en-US" w:eastAsia="zh-CN"/>
              </w:rPr>
              <w:t>以下</w:t>
            </w:r>
            <w:r>
              <w:rPr>
                <w:rFonts w:hint="eastAsia" w:ascii="方正仿宋_GBK" w:hAnsi="方正仿宋_GBK" w:eastAsia="方正仿宋_GBK" w:cs="方正仿宋_GBK"/>
                <w:sz w:val="24"/>
                <w:szCs w:val="24"/>
                <w:lang w:val="en-US" w:eastAsia="zh-CN"/>
              </w:rPr>
              <w:t>资质的可得相应分数，同一人员具备多种资质可累计，但团队同一资质不重复计分：</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具有国家注册一级</w:t>
            </w:r>
            <w:r>
              <w:rPr>
                <w:rFonts w:hint="eastAsia" w:ascii="方正仿宋_GBK" w:hAnsi="方正仿宋_GBK" w:eastAsia="方正仿宋_GBK" w:cs="方正仿宋_GBK"/>
                <w:sz w:val="24"/>
                <w:szCs w:val="24"/>
                <w:lang w:val="en-US" w:eastAsia="zh-CN"/>
              </w:rPr>
              <w:t>造</w:t>
            </w:r>
            <w:r>
              <w:rPr>
                <w:rFonts w:hint="eastAsia" w:ascii="方正仿宋_GBK" w:hAnsi="方正仿宋_GBK" w:eastAsia="方正仿宋_GBK" w:cs="方正仿宋_GBK"/>
                <w:sz w:val="24"/>
                <w:szCs w:val="24"/>
                <w:lang w:eastAsia="zh-CN"/>
              </w:rPr>
              <w:t>价</w:t>
            </w:r>
            <w:r>
              <w:rPr>
                <w:rFonts w:hint="eastAsia" w:ascii="方正仿宋_GBK" w:hAnsi="方正仿宋_GBK" w:eastAsia="方正仿宋_GBK" w:cs="方正仿宋_GBK"/>
                <w:sz w:val="24"/>
                <w:szCs w:val="24"/>
                <w:highlight w:val="none"/>
                <w:lang w:val="en-US" w:eastAsia="zh-CN"/>
              </w:rPr>
              <w:t>工程师</w:t>
            </w:r>
            <w:r>
              <w:rPr>
                <w:rFonts w:hint="eastAsia" w:ascii="方正仿宋_GBK" w:hAnsi="方正仿宋_GBK" w:eastAsia="方正仿宋_GBK" w:cs="方正仿宋_GBK"/>
                <w:sz w:val="24"/>
                <w:szCs w:val="24"/>
              </w:rPr>
              <w:t>执业资格得</w:t>
            </w:r>
            <w:r>
              <w:rPr>
                <w:rFonts w:hint="default" w:ascii="Times New Roman" w:hAnsi="Times New Roman" w:eastAsia="方正仿宋_GBK" w:cs="Times New Roman"/>
                <w:sz w:val="24"/>
                <w:szCs w:val="24"/>
                <w:lang w:val="en-US" w:eastAsia="zh-CN"/>
              </w:rPr>
              <w:t>2</w:t>
            </w:r>
            <w:r>
              <w:rPr>
                <w:rFonts w:hint="eastAsia" w:ascii="方正仿宋_GBK" w:hAnsi="方正仿宋_GBK" w:eastAsia="方正仿宋_GBK" w:cs="方正仿宋_GBK"/>
                <w:sz w:val="24"/>
                <w:szCs w:val="24"/>
              </w:rPr>
              <w:t>分；</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具有</w:t>
            </w:r>
            <w:r>
              <w:rPr>
                <w:rFonts w:hint="eastAsia" w:ascii="方正仿宋_GBK" w:hAnsi="方正仿宋_GBK" w:eastAsia="方正仿宋_GBK" w:cs="方正仿宋_GBK"/>
                <w:sz w:val="24"/>
                <w:szCs w:val="24"/>
                <w:lang w:val="en-US" w:eastAsia="zh-CN"/>
              </w:rPr>
              <w:t>工业与信息化部教育与考试中心颁发的</w:t>
            </w:r>
            <w:r>
              <w:rPr>
                <w:rFonts w:hint="eastAsia" w:ascii="方正仿宋_GBK" w:hAnsi="方正仿宋_GBK" w:eastAsia="方正仿宋_GBK" w:cs="方正仿宋_GBK"/>
                <w:sz w:val="24"/>
                <w:szCs w:val="24"/>
              </w:rPr>
              <w:t>软件工程</w:t>
            </w:r>
            <w:r>
              <w:rPr>
                <w:rFonts w:hint="eastAsia" w:ascii="方正仿宋_GBK" w:hAnsi="方正仿宋_GBK" w:eastAsia="方正仿宋_GBK" w:cs="方正仿宋_GBK"/>
                <w:sz w:val="24"/>
                <w:szCs w:val="24"/>
                <w:lang w:val="en-US" w:eastAsia="zh-CN"/>
              </w:rPr>
              <w:t>造价</w:t>
            </w:r>
            <w:r>
              <w:rPr>
                <w:rFonts w:hint="eastAsia" w:ascii="方正仿宋_GBK" w:hAnsi="方正仿宋_GBK" w:eastAsia="方正仿宋_GBK" w:cs="方正仿宋_GBK"/>
                <w:sz w:val="24"/>
                <w:szCs w:val="24"/>
              </w:rPr>
              <w:t>师</w:t>
            </w:r>
            <w:r>
              <w:rPr>
                <w:rFonts w:hint="eastAsia" w:ascii="方正仿宋_GBK" w:hAnsi="方正仿宋_GBK" w:eastAsia="方正仿宋_GBK" w:cs="方正仿宋_GBK"/>
                <w:sz w:val="24"/>
                <w:szCs w:val="24"/>
                <w:lang w:val="en-US" w:eastAsia="zh-CN"/>
              </w:rPr>
              <w:t>资质</w:t>
            </w:r>
            <w:r>
              <w:rPr>
                <w:rFonts w:hint="eastAsia" w:ascii="方正仿宋_GBK" w:hAnsi="方正仿宋_GBK" w:eastAsia="方正仿宋_GBK" w:cs="方正仿宋_GBK"/>
                <w:sz w:val="24"/>
                <w:szCs w:val="24"/>
              </w:rPr>
              <w:t>得</w:t>
            </w:r>
            <w:r>
              <w:rPr>
                <w:rFonts w:hint="eastAsia" w:ascii="Times New Roman" w:hAnsi="Times New Roman" w:eastAsia="方正仿宋_GBK" w:cs="Times New Roman"/>
                <w:sz w:val="24"/>
                <w:szCs w:val="24"/>
                <w:lang w:val="en-US" w:eastAsia="zh-CN"/>
              </w:rPr>
              <w:t>1</w:t>
            </w:r>
            <w:r>
              <w:rPr>
                <w:rFonts w:hint="eastAsia" w:ascii="方正仿宋_GBK" w:hAnsi="方正仿宋_GBK" w:eastAsia="方正仿宋_GBK" w:cs="方正仿宋_GBK"/>
                <w:sz w:val="24"/>
                <w:szCs w:val="24"/>
              </w:rPr>
              <w:t>分；</w:t>
            </w:r>
          </w:p>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具有中国软件评测中心</w:t>
            </w:r>
            <w:r>
              <w:rPr>
                <w:rFonts w:hint="eastAsia" w:ascii="方正仿宋_GBK" w:hAnsi="方正仿宋_GBK" w:eastAsia="方正仿宋_GBK" w:cs="方正仿宋_GBK"/>
                <w:sz w:val="24"/>
                <w:szCs w:val="24"/>
                <w:lang w:eastAsia="zh-CN"/>
              </w:rPr>
              <w:t>（工业和信息化部软件与集成电路促进中心）</w:t>
            </w:r>
            <w:r>
              <w:rPr>
                <w:rFonts w:hint="eastAsia" w:ascii="方正仿宋_GBK" w:hAnsi="方正仿宋_GBK" w:eastAsia="方正仿宋_GBK" w:cs="方正仿宋_GBK"/>
                <w:sz w:val="24"/>
                <w:szCs w:val="24"/>
              </w:rPr>
              <w:t>颁发的软件</w:t>
            </w:r>
            <w:r>
              <w:rPr>
                <w:rFonts w:hint="eastAsia" w:ascii="方正仿宋_GBK" w:hAnsi="方正仿宋_GBK" w:eastAsia="方正仿宋_GBK" w:cs="方正仿宋_GBK"/>
                <w:sz w:val="24"/>
                <w:szCs w:val="24"/>
                <w:highlight w:val="none"/>
                <w:lang w:val="en-US" w:eastAsia="zh-CN"/>
              </w:rPr>
              <w:t>测试</w:t>
            </w:r>
            <w:r>
              <w:rPr>
                <w:rFonts w:hint="eastAsia" w:ascii="方正仿宋_GBK" w:hAnsi="方正仿宋_GBK" w:eastAsia="方正仿宋_GBK" w:cs="方正仿宋_GBK"/>
                <w:sz w:val="24"/>
                <w:szCs w:val="24"/>
              </w:rPr>
              <w:t>工程师</w:t>
            </w:r>
            <w:r>
              <w:rPr>
                <w:rFonts w:hint="eastAsia" w:ascii="方正仿宋_GBK" w:hAnsi="方正仿宋_GBK" w:eastAsia="方正仿宋_GBK" w:cs="方正仿宋_GBK"/>
                <w:sz w:val="24"/>
                <w:szCs w:val="24"/>
                <w:lang w:val="en-US" w:eastAsia="zh-CN"/>
              </w:rPr>
              <w:t>资质</w:t>
            </w:r>
            <w:r>
              <w:rPr>
                <w:rFonts w:hint="eastAsia" w:ascii="方正仿宋_GBK" w:hAnsi="方正仿宋_GBK" w:eastAsia="方正仿宋_GBK" w:cs="方正仿宋_GBK"/>
                <w:sz w:val="24"/>
                <w:szCs w:val="24"/>
              </w:rPr>
              <w:t>得</w:t>
            </w:r>
            <w:r>
              <w:rPr>
                <w:rFonts w:hint="eastAsia" w:ascii="Times New Roman" w:hAnsi="Times New Roman" w:eastAsia="方正仿宋_GBK" w:cs="Times New Roman"/>
                <w:sz w:val="24"/>
                <w:szCs w:val="24"/>
                <w:lang w:val="en-US" w:eastAsia="zh-CN"/>
              </w:rPr>
              <w:t>1</w:t>
            </w:r>
            <w:r>
              <w:rPr>
                <w:rFonts w:hint="eastAsia" w:ascii="方正仿宋_GBK" w:hAnsi="方正仿宋_GBK" w:eastAsia="方正仿宋_GBK" w:cs="方正仿宋_GBK"/>
                <w:sz w:val="24"/>
                <w:szCs w:val="24"/>
              </w:rPr>
              <w:t>分；</w:t>
            </w:r>
          </w:p>
          <w:p>
            <w:pPr>
              <w:keepNext w:val="0"/>
              <w:keepLines w:val="0"/>
              <w:pageBreakBefore w:val="0"/>
              <w:widowControl w:val="0"/>
              <w:wordWrap/>
              <w:overflowPunct/>
              <w:topLinePunct w:val="0"/>
              <w:bidi w:val="0"/>
              <w:spacing w:line="0" w:lineRule="atLeast"/>
              <w:jc w:val="left"/>
              <w:textAlignment w:val="auto"/>
              <w:rPr>
                <w:rFonts w:hint="eastAsia"/>
                <w:sz w:val="24"/>
                <w:szCs w:val="24"/>
              </w:rPr>
            </w:pPr>
            <w:r>
              <w:rPr>
                <w:rFonts w:hint="eastAsia" w:ascii="方正仿宋_GBK" w:hAnsi="方正仿宋_GBK" w:eastAsia="方正仿宋_GBK" w:cs="方正仿宋_GBK"/>
                <w:sz w:val="24"/>
                <w:szCs w:val="24"/>
              </w:rPr>
              <w:t>具有中国通信</w:t>
            </w:r>
            <w:r>
              <w:rPr>
                <w:rFonts w:hint="eastAsia" w:ascii="方正仿宋_GBK" w:hAnsi="方正仿宋_GBK" w:eastAsia="方正仿宋_GBK" w:cs="方正仿宋_GBK"/>
                <w:sz w:val="24"/>
                <w:szCs w:val="24"/>
                <w:lang w:val="en-US" w:eastAsia="zh-CN"/>
              </w:rPr>
              <w:t>工业</w:t>
            </w:r>
            <w:r>
              <w:rPr>
                <w:rFonts w:hint="eastAsia" w:ascii="方正仿宋_GBK" w:hAnsi="方正仿宋_GBK" w:eastAsia="方正仿宋_GBK" w:cs="方正仿宋_GBK"/>
                <w:sz w:val="24"/>
                <w:szCs w:val="24"/>
              </w:rPr>
              <w:t>协会颁发</w:t>
            </w:r>
            <w:r>
              <w:rPr>
                <w:rFonts w:hint="eastAsia" w:ascii="方正仿宋_GBK" w:hAnsi="方正仿宋_GBK" w:eastAsia="方正仿宋_GBK" w:cs="方正仿宋_GBK"/>
                <w:sz w:val="24"/>
                <w:szCs w:val="24"/>
                <w:lang w:val="en-US" w:eastAsia="zh-CN"/>
              </w:rPr>
              <w:t>的</w:t>
            </w:r>
            <w:r>
              <w:rPr>
                <w:rFonts w:hint="eastAsia" w:ascii="方正仿宋_GBK" w:hAnsi="方正仿宋_GBK" w:eastAsia="方正仿宋_GBK" w:cs="方正仿宋_GBK"/>
                <w:sz w:val="24"/>
                <w:szCs w:val="24"/>
              </w:rPr>
              <w:t>系统分析师得</w:t>
            </w:r>
            <w:r>
              <w:rPr>
                <w:rFonts w:hint="eastAsia" w:ascii="Times New Roman" w:hAnsi="Times New Roman" w:eastAsia="方正仿宋_GBK" w:cs="Times New Roman"/>
                <w:sz w:val="24"/>
                <w:szCs w:val="24"/>
                <w:lang w:val="en-US" w:eastAsia="zh-CN"/>
              </w:rPr>
              <w:t>1</w:t>
            </w:r>
            <w:r>
              <w:rPr>
                <w:rFonts w:hint="eastAsia" w:ascii="方正仿宋_GBK" w:hAnsi="方正仿宋_GBK" w:eastAsia="方正仿宋_GBK" w:cs="方正仿宋_GBK"/>
                <w:sz w:val="24"/>
                <w:szCs w:val="24"/>
              </w:rPr>
              <w:t>分。</w:t>
            </w:r>
          </w:p>
        </w:tc>
        <w:tc>
          <w:tcPr>
            <w:tcW w:w="1594"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0" w:lineRule="atLeast"/>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提供相关证书</w:t>
            </w:r>
            <w:r>
              <w:rPr>
                <w:rFonts w:hint="eastAsia" w:ascii="方正仿宋_GBK" w:hAnsi="方正仿宋_GBK" w:eastAsia="方正仿宋_GBK" w:cs="方正仿宋_GBK"/>
                <w:color w:val="000000"/>
                <w:sz w:val="24"/>
                <w:szCs w:val="24"/>
                <w:lang w:val="en-US" w:eastAsia="zh-CN"/>
              </w:rPr>
              <w:t>复印件</w:t>
            </w:r>
            <w:r>
              <w:rPr>
                <w:rFonts w:hint="eastAsia" w:ascii="方正仿宋_GBK" w:hAnsi="方正仿宋_GBK" w:eastAsia="方正仿宋_GBK" w:cs="方正仿宋_GBK"/>
                <w:color w:val="000000"/>
                <w:sz w:val="24"/>
                <w:szCs w:val="24"/>
              </w:rPr>
              <w:t>加盖供应商单位公章。</w:t>
            </w:r>
          </w:p>
        </w:tc>
        <w:bookmarkStart w:id="47" w:name="_Toc32110"/>
        <w:bookmarkStart w:id="48" w:name="_Toc9756"/>
        <w:bookmarkStart w:id="49" w:name="_Toc2220"/>
      </w:tr>
      <w:bookmarkEnd w:id="46"/>
      <w:bookmarkEnd w:id="47"/>
      <w:bookmarkEnd w:id="48"/>
      <w:bookmarkEnd w:id="49"/>
    </w:tbl>
    <w:p>
      <w:pPr>
        <w:pStyle w:val="4"/>
        <w:pageBreakBefore w:val="0"/>
        <w:widowControl w:val="0"/>
        <w:wordWrap/>
        <w:topLinePunct w:val="0"/>
        <w:bidi w:val="0"/>
        <w:spacing w:line="600" w:lineRule="exact"/>
        <w:ind w:firstLine="643" w:firstLineChars="200"/>
        <w:jc w:val="left"/>
        <w:textAlignment w:val="auto"/>
        <w:rPr>
          <w:rFonts w:hint="eastAsia" w:ascii="方正黑体_GBK" w:hAnsi="方正黑体_GBK" w:eastAsia="方正黑体_GBK" w:cs="方正黑体_GBK"/>
          <w:sz w:val="32"/>
          <w:szCs w:val="32"/>
        </w:rPr>
      </w:pPr>
      <w:bookmarkStart w:id="50" w:name="_Toc8881"/>
      <w:bookmarkStart w:id="51" w:name="_Toc14548"/>
      <w:r>
        <w:rPr>
          <w:rFonts w:hint="eastAsia" w:ascii="方正黑体_GBK" w:hAnsi="方正黑体_GBK" w:eastAsia="方正黑体_GBK" w:cs="方正黑体_GBK"/>
          <w:sz w:val="32"/>
          <w:szCs w:val="32"/>
        </w:rPr>
        <w:t>三、无效</w:t>
      </w:r>
      <w:bookmarkEnd w:id="50"/>
      <w:r>
        <w:rPr>
          <w:rFonts w:hint="eastAsia" w:ascii="方正黑体_GBK" w:hAnsi="方正黑体_GBK" w:eastAsia="方正黑体_GBK" w:cs="方正黑体_GBK"/>
          <w:sz w:val="32"/>
          <w:szCs w:val="32"/>
        </w:rPr>
        <w:t>响应</w:t>
      </w:r>
      <w:bookmarkEnd w:id="51"/>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bookmarkStart w:id="52" w:name="_Toc2351"/>
      <w:bookmarkStart w:id="53" w:name="_Toc22716"/>
      <w:bookmarkStart w:id="54" w:name="_Toc28422"/>
      <w:bookmarkStart w:id="55" w:name="_Toc106034793"/>
      <w:bookmarkStart w:id="56" w:name="_Toc29298"/>
      <w:bookmarkStart w:id="57" w:name="_Toc65660353"/>
      <w:r>
        <w:rPr>
          <w:rFonts w:hint="eastAsia" w:ascii="方正仿宋_GBK" w:hAnsi="方正仿宋_GBK" w:eastAsia="方正仿宋_GBK" w:cs="方正仿宋_GBK"/>
          <w:sz w:val="32"/>
          <w:szCs w:val="32"/>
        </w:rPr>
        <w:t>供应商发生以下条款情况之一者，视为响应无效，其响应文件将被拒绝：</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（一）供应商不符合规定的基本资格条件或特定资格条件的；</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（二）供应商所提交的响应文件不按第</w:t>
      </w: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rPr>
        <w:t>篇“响应文件编制要求”规定签字、盖章；</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（三）供应商的报价超过采购预算最高限价的；</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（四）法定代表人为同一个人的两个及两个以上法人，母公司、全资子公司及其控股公司，在同一分包采购中同时参与比选；</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（五）供应商</w:t>
      </w:r>
      <w:r>
        <w:rPr>
          <w:rFonts w:hint="eastAsia" w:ascii="方正仿宋_GBK" w:hAnsi="方正仿宋_GBK" w:eastAsia="方正仿宋_GBK" w:cs="方正仿宋_GBK"/>
          <w:sz w:val="32"/>
          <w:szCs w:val="32"/>
          <w:highlight w:val="none"/>
          <w:lang w:val="en-US" w:eastAsia="zh-CN"/>
        </w:rPr>
        <w:t>提供的</w:t>
      </w:r>
      <w:r>
        <w:rPr>
          <w:rFonts w:hint="eastAsia" w:ascii="方正仿宋_GBK" w:hAnsi="方正仿宋_GBK" w:eastAsia="方正仿宋_GBK" w:cs="方正仿宋_GBK"/>
          <w:sz w:val="32"/>
          <w:szCs w:val="32"/>
          <w:highlight w:val="none"/>
        </w:rPr>
        <w:t>比选报价函不</w:t>
      </w:r>
      <w:r>
        <w:rPr>
          <w:rFonts w:hint="eastAsia" w:ascii="方正仿宋_GBK" w:hAnsi="方正仿宋_GBK" w:eastAsia="方正仿宋_GBK" w:cs="方正仿宋_GBK"/>
          <w:sz w:val="32"/>
          <w:szCs w:val="32"/>
          <w:highlight w:val="none"/>
          <w:lang w:val="en-US" w:eastAsia="zh-CN"/>
        </w:rPr>
        <w:t>满足</w:t>
      </w:r>
      <w:r>
        <w:rPr>
          <w:rFonts w:hint="eastAsia" w:ascii="方正仿宋_GBK" w:hAnsi="方正仿宋_GBK" w:eastAsia="方正仿宋_GBK" w:cs="方正仿宋_GBK"/>
          <w:sz w:val="32"/>
          <w:szCs w:val="32"/>
          <w:highlight w:val="none"/>
        </w:rPr>
        <w:t>比选文件规定的</w:t>
      </w:r>
      <w:r>
        <w:rPr>
          <w:rFonts w:hint="eastAsia" w:ascii="方正仿宋_GBK" w:hAnsi="方正仿宋_GBK" w:eastAsia="方正仿宋_GBK" w:cs="方正仿宋_GBK"/>
          <w:sz w:val="32"/>
          <w:szCs w:val="32"/>
          <w:highlight w:val="none"/>
          <w:lang w:val="en-US" w:eastAsia="zh-CN"/>
        </w:rPr>
        <w:t>响应文件编制要求</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（六）单位负责人为同一人或者存在直接控股、管理关系的不同供应商，参加同一合同项下的采购活动的；</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（七）为采购项目提供整体设计、规范编制或者项目管理、监理、检测等服务的供应商，再参加该采购项目的其他采购活动；</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（八）供应商的服务期、质量保证期（如有）及比选有效期不满足比选文件要求的；</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（九）供应商响应文件内容有与国家现行法律法规相违背的内容，或附有采购人无法接受的条件。</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（十）供应商被列入失信被执行人、重大税收违法案件当事人名单、政府采购严重违法失信行为记录名单及其他不符合本比选文件供应商资格条件的。</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采购人、采购代理机构将通过“信用中国”网站</w:t>
      </w:r>
      <w:r>
        <w:rPr>
          <w:rFonts w:hint="default" w:ascii="Times New Roman" w:hAnsi="Times New Roman" w:eastAsia="方正仿宋_GBK" w:cs="Times New Roman"/>
          <w:sz w:val="32"/>
          <w:szCs w:val="32"/>
        </w:rPr>
        <w:t>（www.creditchina.gov.cn）</w:t>
      </w:r>
      <w:r>
        <w:rPr>
          <w:rFonts w:hint="eastAsia" w:ascii="方正仿宋_GBK" w:hAnsi="方正仿宋_GBK" w:eastAsia="方正仿宋_GBK" w:cs="方正仿宋_GBK"/>
          <w:sz w:val="32"/>
          <w:szCs w:val="32"/>
        </w:rPr>
        <w:t>、中国政府采购网（</w:t>
      </w:r>
      <w:r>
        <w:rPr>
          <w:rFonts w:hint="default" w:ascii="Times New Roman" w:hAnsi="Times New Roman" w:eastAsia="方正仿宋_GBK" w:cs="Times New Roman"/>
          <w:sz w:val="32"/>
          <w:szCs w:val="32"/>
        </w:rPr>
        <w:t>www.ccgp.gov.cn</w:t>
      </w:r>
      <w:r>
        <w:rPr>
          <w:rFonts w:hint="eastAsia" w:ascii="方正仿宋_GBK" w:hAnsi="方正仿宋_GBK" w:eastAsia="方正仿宋_GBK" w:cs="方正仿宋_GBK"/>
          <w:sz w:val="32"/>
          <w:szCs w:val="32"/>
        </w:rPr>
        <w:t>）等渠道查询供应商信用记录，对列入失信被执行人、重大税收违法案件当事人名单、政府采购严重违法失信行为记录名单及其他不符合本比选文件供应商资格条件的供应商，应当拒绝其参与本次采购活动。</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评审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评审小组应当将其作为无效投标处理。</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（十二）法律、法规和比选文件规定的其他无效情形。</w:t>
      </w:r>
    </w:p>
    <w:p>
      <w:pPr>
        <w:pStyle w:val="4"/>
        <w:pageBreakBefore w:val="0"/>
        <w:widowControl w:val="0"/>
        <w:wordWrap/>
        <w:topLinePunct w:val="0"/>
        <w:bidi w:val="0"/>
        <w:spacing w:line="600" w:lineRule="exact"/>
        <w:ind w:firstLine="640" w:firstLineChars="200"/>
        <w:jc w:val="left"/>
        <w:textAlignment w:val="auto"/>
        <w:rPr>
          <w:rFonts w:hint="eastAsia" w:ascii="方正黑体_GBK" w:hAnsi="方正黑体_GBK" w:eastAsia="方正黑体_GBK" w:cs="方正黑体_GBK"/>
          <w:b w:val="0"/>
          <w:bCs w:val="0"/>
          <w:sz w:val="32"/>
          <w:szCs w:val="32"/>
        </w:rPr>
      </w:pPr>
      <w:bookmarkStart w:id="58" w:name="_Toc11218"/>
      <w:r>
        <w:rPr>
          <w:rFonts w:hint="eastAsia" w:ascii="方正黑体_GBK" w:hAnsi="方正黑体_GBK" w:eastAsia="方正黑体_GBK" w:cs="方正黑体_GBK"/>
          <w:b w:val="0"/>
          <w:bCs w:val="0"/>
          <w:sz w:val="32"/>
          <w:szCs w:val="32"/>
        </w:rPr>
        <w:t>四、采购终止</w:t>
      </w:r>
      <w:bookmarkEnd w:id="52"/>
      <w:bookmarkEnd w:id="53"/>
      <w:bookmarkEnd w:id="54"/>
      <w:bookmarkEnd w:id="55"/>
      <w:bookmarkEnd w:id="56"/>
      <w:bookmarkEnd w:id="57"/>
      <w:bookmarkEnd w:id="58"/>
    </w:p>
    <w:p>
      <w:pPr>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出现下列情形之一的，采购人或者采购代理机构应当终止比选活动，发布项目终止公告并说明原因，重新开展采购活动：</w:t>
      </w:r>
    </w:p>
    <w:p>
      <w:pPr>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（一）因情况变化，不再符合规定的比选采购方式适用情形的；</w:t>
      </w:r>
    </w:p>
    <w:p>
      <w:pPr>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（二）出现影响采购公正的违法、违规行为的；</w:t>
      </w:r>
    </w:p>
    <w:p>
      <w:pPr>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（三）在采购过程中符合竞争要求的供应商不足</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家的，终止本次采购活动，并发布终止采购活动公告；</w:t>
      </w:r>
    </w:p>
    <w:p>
      <w:pPr>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（四）项目出现其他实质性影响，可能导致项目无法正常开展的情形。</w:t>
      </w:r>
    </w:p>
    <w:p>
      <w:pPr>
        <w:kinsoku w:val="0"/>
        <w:overflowPunct w:val="0"/>
        <w:autoSpaceDE w:val="0"/>
        <w:autoSpaceDN w:val="0"/>
        <w:adjustRightInd w:val="0"/>
        <w:snapToGrid w:val="0"/>
        <w:spacing w:line="360" w:lineRule="auto"/>
        <w:ind w:firstLine="560" w:firstLineChars="200"/>
        <w:rPr>
          <w:rFonts w:ascii="仿宋_GB2312" w:hAnsi="Calibri" w:eastAsia="仿宋_GB2312"/>
          <w:sz w:val="28"/>
          <w:szCs w:val="28"/>
        </w:rPr>
      </w:pPr>
      <w:r>
        <w:rPr>
          <w:rFonts w:hint="eastAsia" w:ascii="仿宋_GB2312" w:hAnsi="Calibri" w:eastAsia="仿宋_GB2312"/>
          <w:sz w:val="28"/>
          <w:szCs w:val="28"/>
        </w:rPr>
        <w:br w:type="page"/>
      </w:r>
    </w:p>
    <w:p>
      <w:pPr>
        <w:pStyle w:val="2"/>
        <w:numPr>
          <w:ilvl w:val="0"/>
          <w:numId w:val="14"/>
        </w:numPr>
        <w:jc w:val="center"/>
        <w:rPr>
          <w:rFonts w:hint="eastAsia" w:ascii="方正小标宋_GBK" w:hAnsi="方正小标宋_GBK" w:eastAsia="方正小标宋_GBK" w:cs="方正小标宋_GBK"/>
          <w:b/>
          <w:bCs/>
          <w:kern w:val="0"/>
          <w:sz w:val="44"/>
          <w:szCs w:val="44"/>
        </w:rPr>
      </w:pPr>
      <w:r>
        <w:rPr>
          <w:rFonts w:hint="eastAsia" w:ascii="方正小标宋_GBK" w:hAnsi="方正小标宋_GBK" w:eastAsia="方正小标宋_GBK" w:cs="方正小标宋_GBK"/>
          <w:b/>
          <w:bCs/>
          <w:kern w:val="0"/>
          <w:sz w:val="44"/>
          <w:szCs w:val="44"/>
        </w:rPr>
        <w:t>供应商须知</w:t>
      </w:r>
    </w:p>
    <w:p>
      <w:pPr>
        <w:pStyle w:val="4"/>
        <w:pageBreakBefore w:val="0"/>
        <w:widowControl w:val="0"/>
        <w:wordWrap/>
        <w:topLinePunct w:val="0"/>
        <w:bidi w:val="0"/>
        <w:spacing w:line="600" w:lineRule="exact"/>
        <w:ind w:firstLine="640" w:firstLineChars="200"/>
        <w:jc w:val="left"/>
        <w:textAlignment w:val="auto"/>
        <w:rPr>
          <w:rFonts w:hint="eastAsia" w:ascii="方正黑体_GBK" w:hAnsi="方正黑体_GBK" w:eastAsia="方正黑体_GBK" w:cs="方正黑体_GBK"/>
          <w:b w:val="0"/>
          <w:bCs w:val="0"/>
          <w:sz w:val="32"/>
          <w:szCs w:val="32"/>
        </w:rPr>
      </w:pPr>
      <w:bookmarkStart w:id="59" w:name="_Toc19339"/>
      <w:bookmarkEnd w:id="59"/>
      <w:bookmarkStart w:id="60" w:name="_Toc342913389"/>
      <w:bookmarkEnd w:id="60"/>
      <w:bookmarkStart w:id="61" w:name="_Toc18927"/>
      <w:bookmarkEnd w:id="61"/>
      <w:bookmarkStart w:id="62" w:name="_Toc4011"/>
      <w:bookmarkEnd w:id="62"/>
      <w:bookmarkStart w:id="63" w:name="_Toc7161"/>
      <w:r>
        <w:rPr>
          <w:rFonts w:hint="eastAsia" w:ascii="方正黑体_GBK" w:hAnsi="方正黑体_GBK" w:eastAsia="方正黑体_GBK" w:cs="方正黑体_GBK"/>
          <w:b w:val="0"/>
          <w:bCs w:val="0"/>
          <w:sz w:val="32"/>
          <w:szCs w:val="32"/>
        </w:rPr>
        <w:t>一、比选费用</w:t>
      </w:r>
      <w:bookmarkEnd w:id="63"/>
    </w:p>
    <w:p>
      <w:pPr>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参与比选的供应商应承担其编制响应文件与递交响应文件所涉及的一切费用，不论比选结果如何，采购人在任何情况下无义务也无责任承担这些费用。</w:t>
      </w:r>
    </w:p>
    <w:p>
      <w:pPr>
        <w:pStyle w:val="4"/>
        <w:pageBreakBefore w:val="0"/>
        <w:widowControl w:val="0"/>
        <w:wordWrap/>
        <w:topLinePunct w:val="0"/>
        <w:bidi w:val="0"/>
        <w:spacing w:line="600" w:lineRule="exact"/>
        <w:ind w:firstLine="640" w:firstLineChars="200"/>
        <w:jc w:val="left"/>
        <w:textAlignment w:val="auto"/>
        <w:rPr>
          <w:rFonts w:hint="eastAsia" w:ascii="方正黑体_GBK" w:hAnsi="方正黑体_GBK" w:eastAsia="方正黑体_GBK" w:cs="方正黑体_GBK"/>
          <w:b w:val="0"/>
          <w:bCs w:val="0"/>
          <w:sz w:val="32"/>
          <w:szCs w:val="32"/>
        </w:rPr>
      </w:pPr>
      <w:bookmarkStart w:id="64" w:name="_Toc16017"/>
      <w:bookmarkEnd w:id="64"/>
      <w:bookmarkStart w:id="65" w:name="_Toc16175"/>
      <w:bookmarkEnd w:id="65"/>
      <w:bookmarkStart w:id="66" w:name="_Toc342913391"/>
      <w:bookmarkEnd w:id="66"/>
      <w:bookmarkStart w:id="67" w:name="_Toc25299"/>
      <w:bookmarkEnd w:id="67"/>
      <w:bookmarkStart w:id="68" w:name="_Toc24167"/>
      <w:r>
        <w:rPr>
          <w:rFonts w:hint="eastAsia" w:ascii="方正黑体_GBK" w:hAnsi="方正黑体_GBK" w:eastAsia="方正黑体_GBK" w:cs="方正黑体_GBK"/>
          <w:b w:val="0"/>
          <w:bCs w:val="0"/>
          <w:sz w:val="32"/>
          <w:szCs w:val="32"/>
        </w:rPr>
        <w:t>二、比选要求</w:t>
      </w:r>
      <w:bookmarkEnd w:id="68"/>
    </w:p>
    <w:p>
      <w:pPr>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（一）响应文件</w:t>
      </w:r>
    </w:p>
    <w:p>
      <w:pPr>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供应商应当按照比选文件的要求编制响应文件，并对比选文件提出的要求和条件作出实质性响应，响应文件原则上采用软面订本，同时应编制完整的页码、目录。</w:t>
      </w:r>
    </w:p>
    <w:p>
      <w:pPr>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（二）联合体</w:t>
      </w:r>
    </w:p>
    <w:p>
      <w:pPr>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本项目不接受联合体竞标。</w:t>
      </w:r>
    </w:p>
    <w:p>
      <w:pPr>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（三）修正错误</w:t>
      </w:r>
    </w:p>
    <w:p>
      <w:pPr>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若供应商所递交的响应文件中的价格出现大写金额和小写金额不一致的错误，以大写金额修正为准。</w:t>
      </w:r>
    </w:p>
    <w:p>
      <w:pPr>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评审小组按上述修正错误的原则及方法修正供应商的报价，供应商同意并签字确认后，修正后的报价对供应商具有约束作用。如果供应商不接受修正后的价格，将失去成为供应商的资格。</w:t>
      </w:r>
    </w:p>
    <w:p>
      <w:pPr>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bCs/>
          <w:sz w:val="32"/>
          <w:szCs w:val="32"/>
          <w:highlight w:val="none"/>
        </w:rPr>
        <w:t>（四）提交响应文件的份数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ascii="方正仿宋_GBK" w:hAnsi="方正仿宋_GBK" w:eastAsia="方正仿宋_GBK" w:cs="方正仿宋_GBK"/>
          <w:sz w:val="32"/>
          <w:szCs w:val="32"/>
        </w:rPr>
        <w:t>报价文件资料均应逐页加盖单位公章并装订成册（一式叁份，一正二副）、不得活页，文本封面上标明正副本（正本与副本内容不一致的，以正本为准），并提供电子扫描件（U盘）。</w:t>
      </w:r>
      <w:r>
        <w:rPr>
          <w:rFonts w:hint="eastAsia"/>
        </w:rPr>
        <w:br w:type="page"/>
      </w:r>
    </w:p>
    <w:p>
      <w:pPr>
        <w:rPr>
          <w:rFonts w:hint="eastAsia"/>
        </w:rPr>
      </w:pPr>
    </w:p>
    <w:p>
      <w:pPr>
        <w:pStyle w:val="2"/>
        <w:numPr>
          <w:ilvl w:val="0"/>
          <w:numId w:val="14"/>
        </w:numPr>
        <w:jc w:val="center"/>
        <w:rPr>
          <w:rFonts w:hint="eastAsia" w:ascii="方正小标宋_GBK" w:hAnsi="方正小标宋_GBK" w:eastAsia="方正小标宋_GBK" w:cs="方正小标宋_GBK"/>
          <w:b w:val="0"/>
          <w:bCs w:val="0"/>
          <w:kern w:val="0"/>
          <w:sz w:val="44"/>
          <w:szCs w:val="44"/>
        </w:rPr>
      </w:pPr>
      <w:bookmarkStart w:id="69" w:name="_Toc29804"/>
      <w:r>
        <w:rPr>
          <w:rFonts w:hint="eastAsia" w:ascii="方正小标宋_GBK" w:hAnsi="方正小标宋_GBK" w:eastAsia="方正小标宋_GBK" w:cs="方正小标宋_GBK"/>
          <w:b w:val="0"/>
          <w:bCs w:val="0"/>
          <w:kern w:val="0"/>
          <w:sz w:val="44"/>
          <w:szCs w:val="44"/>
        </w:rPr>
        <w:t>响应文件编制要求</w:t>
      </w:r>
      <w:bookmarkEnd w:id="69"/>
    </w:p>
    <w:p>
      <w:pPr>
        <w:pStyle w:val="4"/>
        <w:pageBreakBefore w:val="0"/>
        <w:widowControl w:val="0"/>
        <w:wordWrap/>
        <w:topLinePunct w:val="0"/>
        <w:bidi w:val="0"/>
        <w:spacing w:line="600" w:lineRule="exact"/>
        <w:ind w:firstLine="640" w:firstLineChars="200"/>
        <w:jc w:val="left"/>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一、经济部分</w:t>
      </w:r>
    </w:p>
    <w:p>
      <w:pPr>
        <w:pageBreakBefore w:val="0"/>
        <w:widowControl w:val="0"/>
        <w:kinsoku w:val="0"/>
        <w:wordWrap/>
        <w:overflowPunct w:val="0"/>
        <w:topLinePunct w:val="0"/>
        <w:autoSpaceDE w:val="0"/>
        <w:autoSpaceDN w:val="0"/>
        <w:bidi w:val="0"/>
        <w:adjustRightInd w:val="0"/>
        <w:snapToGrid w:val="0"/>
        <w:spacing w:line="600" w:lineRule="exact"/>
        <w:ind w:firstLine="560" w:firstLineChars="2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（一）比选报价函</w:t>
      </w:r>
    </w:p>
    <w:p>
      <w:pPr>
        <w:pStyle w:val="4"/>
        <w:pageBreakBefore w:val="0"/>
        <w:widowControl w:val="0"/>
        <w:wordWrap/>
        <w:topLinePunct w:val="0"/>
        <w:bidi w:val="0"/>
        <w:spacing w:line="600" w:lineRule="exact"/>
        <w:ind w:firstLine="640" w:firstLineChars="200"/>
        <w:jc w:val="left"/>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二、资格条件及其他</w:t>
      </w:r>
    </w:p>
    <w:p>
      <w:pPr>
        <w:pageBreakBefore w:val="0"/>
        <w:widowControl w:val="0"/>
        <w:kinsoku w:val="0"/>
        <w:wordWrap/>
        <w:overflowPunct w:val="0"/>
        <w:topLinePunct w:val="0"/>
        <w:autoSpaceDE w:val="0"/>
        <w:autoSpaceDN w:val="0"/>
        <w:bidi w:val="0"/>
        <w:adjustRightInd w:val="0"/>
        <w:snapToGrid w:val="0"/>
        <w:spacing w:line="600" w:lineRule="exact"/>
        <w:ind w:firstLine="560" w:firstLineChars="2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（一）法人营业执照（副本）</w:t>
      </w:r>
    </w:p>
    <w:p>
      <w:pPr>
        <w:pageBreakBefore w:val="0"/>
        <w:widowControl w:val="0"/>
        <w:kinsoku w:val="0"/>
        <w:wordWrap/>
        <w:overflowPunct w:val="0"/>
        <w:topLinePunct w:val="0"/>
        <w:autoSpaceDE w:val="0"/>
        <w:autoSpaceDN w:val="0"/>
        <w:bidi w:val="0"/>
        <w:adjustRightInd w:val="0"/>
        <w:snapToGrid w:val="0"/>
        <w:spacing w:line="600" w:lineRule="exact"/>
        <w:ind w:firstLine="560" w:firstLineChars="2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eastAsia="zh-CN"/>
        </w:rPr>
        <w:t>（二）</w:t>
      </w:r>
      <w:r>
        <w:rPr>
          <w:rFonts w:hint="eastAsia" w:ascii="方正仿宋_GBK" w:hAnsi="方正仿宋_GBK" w:eastAsia="方正仿宋_GBK" w:cs="方正仿宋_GBK"/>
          <w:b w:val="0"/>
          <w:bCs w:val="0"/>
          <w:sz w:val="28"/>
          <w:szCs w:val="28"/>
        </w:rPr>
        <w:t>法定代表人身份证明书</w:t>
      </w:r>
    </w:p>
    <w:p>
      <w:pPr>
        <w:pageBreakBefore w:val="0"/>
        <w:widowControl w:val="0"/>
        <w:kinsoku w:val="0"/>
        <w:wordWrap/>
        <w:overflowPunct w:val="0"/>
        <w:topLinePunct w:val="0"/>
        <w:autoSpaceDE w:val="0"/>
        <w:autoSpaceDN w:val="0"/>
        <w:bidi w:val="0"/>
        <w:adjustRightInd w:val="0"/>
        <w:snapToGrid w:val="0"/>
        <w:spacing w:line="600" w:lineRule="exact"/>
        <w:ind w:firstLine="560" w:firstLineChars="2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eastAsia="zh-CN"/>
        </w:rPr>
        <w:t>（三）</w:t>
      </w:r>
      <w:r>
        <w:rPr>
          <w:rFonts w:hint="eastAsia" w:ascii="方正仿宋_GBK" w:hAnsi="方正仿宋_GBK" w:eastAsia="方正仿宋_GBK" w:cs="方正仿宋_GBK"/>
          <w:b w:val="0"/>
          <w:bCs w:val="0"/>
          <w:sz w:val="28"/>
          <w:szCs w:val="28"/>
        </w:rPr>
        <w:t>法定代表人授权委托书</w:t>
      </w:r>
    </w:p>
    <w:p>
      <w:pPr>
        <w:pageBreakBefore w:val="0"/>
        <w:widowControl w:val="0"/>
        <w:kinsoku w:val="0"/>
        <w:wordWrap/>
        <w:overflowPunct w:val="0"/>
        <w:topLinePunct w:val="0"/>
        <w:autoSpaceDE w:val="0"/>
        <w:autoSpaceDN w:val="0"/>
        <w:bidi w:val="0"/>
        <w:adjustRightInd w:val="0"/>
        <w:snapToGrid w:val="0"/>
        <w:spacing w:line="600" w:lineRule="exact"/>
        <w:ind w:firstLine="560" w:firstLineChars="200"/>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（四）</w:t>
      </w:r>
      <w:r>
        <w:rPr>
          <w:rFonts w:hint="eastAsia" w:ascii="方正仿宋_GBK" w:hAnsi="方正仿宋_GBK" w:eastAsia="方正仿宋_GBK" w:cs="方正仿宋_GBK"/>
          <w:b w:val="0"/>
          <w:bCs w:val="0"/>
          <w:sz w:val="28"/>
          <w:szCs w:val="28"/>
        </w:rPr>
        <w:t>基本资格条件承诺函</w:t>
      </w:r>
    </w:p>
    <w:p>
      <w:pPr>
        <w:pStyle w:val="4"/>
        <w:pageBreakBefore w:val="0"/>
        <w:widowControl w:val="0"/>
        <w:wordWrap/>
        <w:topLinePunct w:val="0"/>
        <w:bidi w:val="0"/>
        <w:spacing w:line="600" w:lineRule="exact"/>
        <w:ind w:firstLine="640" w:firstLineChars="200"/>
        <w:jc w:val="left"/>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三、服务部分</w:t>
      </w:r>
    </w:p>
    <w:p>
      <w:pPr>
        <w:pageBreakBefore w:val="0"/>
        <w:widowControl w:val="0"/>
        <w:kinsoku w:val="0"/>
        <w:wordWrap/>
        <w:overflowPunct w:val="0"/>
        <w:topLinePunct w:val="0"/>
        <w:autoSpaceDE w:val="0"/>
        <w:autoSpaceDN w:val="0"/>
        <w:bidi w:val="0"/>
        <w:adjustRightInd w:val="0"/>
        <w:snapToGrid w:val="0"/>
        <w:spacing w:line="600" w:lineRule="exact"/>
        <w:ind w:firstLine="560" w:firstLineChars="200"/>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rPr>
        <w:t>（一）服务方案</w:t>
      </w:r>
    </w:p>
    <w:p>
      <w:pPr>
        <w:pStyle w:val="4"/>
        <w:pageBreakBefore w:val="0"/>
        <w:widowControl w:val="0"/>
        <w:wordWrap/>
        <w:topLinePunct w:val="0"/>
        <w:bidi w:val="0"/>
        <w:spacing w:line="600" w:lineRule="exact"/>
        <w:ind w:firstLine="640" w:firstLineChars="200"/>
        <w:jc w:val="left"/>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四、商务部分</w:t>
      </w:r>
    </w:p>
    <w:p>
      <w:pPr>
        <w:pageBreakBefore w:val="0"/>
        <w:widowControl w:val="0"/>
        <w:kinsoku w:val="0"/>
        <w:wordWrap/>
        <w:overflowPunct w:val="0"/>
        <w:topLinePunct w:val="0"/>
        <w:autoSpaceDE w:val="0"/>
        <w:autoSpaceDN w:val="0"/>
        <w:bidi w:val="0"/>
        <w:adjustRightInd w:val="0"/>
        <w:snapToGrid w:val="0"/>
        <w:spacing w:line="600" w:lineRule="exact"/>
        <w:ind w:firstLine="560" w:firstLineChars="200"/>
        <w:textAlignment w:val="auto"/>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rPr>
        <w:t>（一）</w:t>
      </w:r>
      <w:r>
        <w:rPr>
          <w:rFonts w:hint="eastAsia" w:ascii="方正仿宋_GBK" w:hAnsi="方正仿宋_GBK" w:eastAsia="方正仿宋_GBK" w:cs="方正仿宋_GBK"/>
          <w:b w:val="0"/>
          <w:bCs w:val="0"/>
          <w:sz w:val="28"/>
          <w:szCs w:val="28"/>
          <w:lang w:val="en-US" w:eastAsia="zh-CN"/>
        </w:rPr>
        <w:t>商务响应偏离表</w:t>
      </w:r>
    </w:p>
    <w:p>
      <w:pPr>
        <w:pageBreakBefore w:val="0"/>
        <w:widowControl w:val="0"/>
        <w:kinsoku w:val="0"/>
        <w:wordWrap/>
        <w:overflowPunct w:val="0"/>
        <w:topLinePunct w:val="0"/>
        <w:autoSpaceDE w:val="0"/>
        <w:autoSpaceDN w:val="0"/>
        <w:bidi w:val="0"/>
        <w:adjustRightInd w:val="0"/>
        <w:snapToGrid w:val="0"/>
        <w:spacing w:line="600" w:lineRule="exact"/>
        <w:ind w:firstLine="560" w:firstLineChars="200"/>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（二）人员</w:t>
      </w:r>
      <w:r>
        <w:rPr>
          <w:rFonts w:hint="eastAsia" w:ascii="方正仿宋_GBK" w:hAnsi="方正仿宋_GBK" w:eastAsia="方正仿宋_GBK" w:cs="方正仿宋_GBK"/>
          <w:b w:val="0"/>
          <w:bCs w:val="0"/>
          <w:sz w:val="28"/>
          <w:szCs w:val="28"/>
          <w:lang w:val="en-US" w:eastAsia="zh-CN"/>
        </w:rPr>
        <w:t>资质</w:t>
      </w:r>
      <w:r>
        <w:rPr>
          <w:rFonts w:hint="eastAsia" w:ascii="方正仿宋_GBK" w:hAnsi="方正仿宋_GBK" w:eastAsia="方正仿宋_GBK" w:cs="方正仿宋_GBK"/>
          <w:b w:val="0"/>
          <w:bCs w:val="0"/>
          <w:sz w:val="28"/>
          <w:szCs w:val="28"/>
          <w:lang w:eastAsia="zh-CN"/>
        </w:rPr>
        <w:t>材料</w:t>
      </w:r>
    </w:p>
    <w:p>
      <w:pPr>
        <w:pageBreakBefore w:val="0"/>
        <w:widowControl w:val="0"/>
        <w:kinsoku w:val="0"/>
        <w:wordWrap/>
        <w:overflowPunct w:val="0"/>
        <w:topLinePunct w:val="0"/>
        <w:autoSpaceDE w:val="0"/>
        <w:autoSpaceDN w:val="0"/>
        <w:bidi w:val="0"/>
        <w:adjustRightInd w:val="0"/>
        <w:snapToGrid w:val="0"/>
        <w:spacing w:line="600" w:lineRule="exact"/>
        <w:ind w:firstLine="560" w:firstLineChars="200"/>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（三）</w:t>
      </w:r>
      <w:r>
        <w:rPr>
          <w:rFonts w:hint="default" w:ascii="方正仿宋_GBK" w:hAnsi="方正仿宋_GBK" w:eastAsia="方正仿宋_GBK" w:cs="方正仿宋_GBK"/>
          <w:b w:val="0"/>
          <w:bCs w:val="0"/>
          <w:sz w:val="28"/>
          <w:szCs w:val="28"/>
          <w:lang w:eastAsia="zh-CN"/>
        </w:rPr>
        <w:t>业绩</w:t>
      </w:r>
      <w:r>
        <w:rPr>
          <w:rFonts w:hint="eastAsia" w:ascii="方正仿宋_GBK" w:hAnsi="方正仿宋_GBK" w:eastAsia="方正仿宋_GBK" w:cs="方正仿宋_GBK"/>
          <w:b w:val="0"/>
          <w:bCs w:val="0"/>
          <w:sz w:val="28"/>
          <w:szCs w:val="28"/>
          <w:lang w:eastAsia="zh-CN"/>
        </w:rPr>
        <w:t>材料</w:t>
      </w:r>
    </w:p>
    <w:p>
      <w:pPr>
        <w:rPr>
          <w:rFonts w:hint="eastAsia"/>
        </w:rPr>
        <w:sectPr>
          <w:pgSz w:w="11907" w:h="16840"/>
          <w:pgMar w:top="1134" w:right="1134" w:bottom="1134" w:left="1417" w:header="964" w:footer="992" w:gutter="283"/>
          <w:pgNumType w:fmt="decimal"/>
          <w:cols w:space="720" w:num="1"/>
          <w:rtlGutter w:val="0"/>
          <w:docGrid w:linePitch="312" w:charSpace="0"/>
        </w:sectPr>
      </w:pPr>
    </w:p>
    <w:p>
      <w:pPr>
        <w:pStyle w:val="2"/>
        <w:numPr>
          <w:ilvl w:val="0"/>
          <w:numId w:val="14"/>
        </w:numPr>
        <w:jc w:val="center"/>
        <w:rPr>
          <w:rFonts w:hint="eastAsia" w:ascii="方正小标宋_GBK" w:hAnsi="方正小标宋_GBK" w:eastAsia="方正小标宋_GBK" w:cs="方正小标宋_GBK"/>
          <w:b/>
          <w:bCs/>
          <w:kern w:val="0"/>
          <w:sz w:val="44"/>
          <w:szCs w:val="44"/>
        </w:rPr>
      </w:pPr>
      <w:bookmarkStart w:id="70" w:name="_Toc24193"/>
      <w:r>
        <w:rPr>
          <w:rFonts w:hint="eastAsia" w:ascii="方正小标宋_GBK" w:hAnsi="方正小标宋_GBK" w:eastAsia="方正小标宋_GBK" w:cs="方正小标宋_GBK"/>
          <w:b/>
          <w:bCs/>
          <w:kern w:val="0"/>
          <w:sz w:val="44"/>
          <w:szCs w:val="44"/>
        </w:rPr>
        <w:t>响应文件编</w:t>
      </w:r>
      <w:r>
        <w:rPr>
          <w:rFonts w:hint="eastAsia" w:ascii="方正小标宋_GBK" w:hAnsi="方正小标宋_GBK" w:eastAsia="方正小标宋_GBK" w:cs="方正小标宋_GBK"/>
          <w:b w:val="0"/>
          <w:bCs w:val="0"/>
          <w:kern w:val="0"/>
          <w:sz w:val="44"/>
          <w:szCs w:val="44"/>
        </w:rPr>
        <w:t>制</w:t>
      </w:r>
      <w:r>
        <w:rPr>
          <w:rFonts w:hint="eastAsia" w:ascii="方正小标宋_GBK" w:hAnsi="方正小标宋_GBK" w:eastAsia="方正小标宋_GBK" w:cs="方正小标宋_GBK"/>
          <w:b/>
          <w:bCs/>
          <w:kern w:val="0"/>
          <w:sz w:val="44"/>
          <w:szCs w:val="44"/>
        </w:rPr>
        <w:t>格式</w:t>
      </w:r>
      <w:bookmarkEnd w:id="70"/>
    </w:p>
    <w:p>
      <w:pPr>
        <w:pStyle w:val="4"/>
        <w:jc w:val="left"/>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 xml:space="preserve"> </w:t>
      </w:r>
      <w:bookmarkStart w:id="71" w:name="_Toc22200"/>
      <w:bookmarkStart w:id="72" w:name="_Toc24835"/>
      <w:bookmarkStart w:id="73" w:name="_Toc342913419"/>
      <w:bookmarkStart w:id="74" w:name="_Toc313888360"/>
      <w:bookmarkStart w:id="75" w:name="_Toc313008356"/>
      <w:bookmarkStart w:id="76" w:name="_Toc283382454"/>
      <w:bookmarkStart w:id="77" w:name="_Toc12789073"/>
      <w:r>
        <w:rPr>
          <w:rFonts w:hint="eastAsia" w:ascii="方正黑体_GBK" w:hAnsi="方正黑体_GBK" w:eastAsia="方正黑体_GBK" w:cs="方正黑体_GBK"/>
          <w:b w:val="0"/>
          <w:bCs w:val="0"/>
          <w:sz w:val="32"/>
          <w:szCs w:val="32"/>
        </w:rPr>
        <w:t>一、经济部分</w:t>
      </w:r>
      <w:bookmarkEnd w:id="71"/>
      <w:bookmarkEnd w:id="72"/>
      <w:bookmarkEnd w:id="73"/>
      <w:bookmarkEnd w:id="74"/>
      <w:bookmarkEnd w:id="75"/>
    </w:p>
    <w:bookmarkEnd w:id="76"/>
    <w:bookmarkEnd w:id="77"/>
    <w:p>
      <w:pPr>
        <w:tabs>
          <w:tab w:val="left" w:pos="6300"/>
        </w:tabs>
        <w:snapToGrid w:val="0"/>
        <w:spacing w:line="360" w:lineRule="auto"/>
        <w:ind w:firstLine="560" w:firstLineChars="200"/>
        <w:jc w:val="center"/>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比选报价函</w:t>
      </w:r>
    </w:p>
    <w:p>
      <w:pPr>
        <w:tabs>
          <w:tab w:val="left" w:pos="6300"/>
        </w:tabs>
        <w:snapToGrid w:val="0"/>
        <w:spacing w:line="360" w:lineRule="auto"/>
        <w:rPr>
          <w:rFonts w:hint="eastAsia" w:ascii="方正仿宋_GBK" w:hAnsi="方正仿宋_GBK" w:eastAsia="方正仿宋_GBK" w:cs="方正仿宋_GBK"/>
          <w:sz w:val="28"/>
          <w:szCs w:val="28"/>
          <w:u w:val="single"/>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jc w:val="lef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重庆市农业投资集团有限公司</w:t>
      </w:r>
      <w:r>
        <w:rPr>
          <w:rFonts w:hint="eastAsia" w:ascii="方正仿宋_GBK" w:hAnsi="方正仿宋_GBK" w:eastAsia="方正仿宋_GBK" w:cs="方正仿宋_GBK"/>
          <w:sz w:val="28"/>
          <w:szCs w:val="28"/>
          <w:highlight w:val="none"/>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我方收到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（项目名称）的比选文件，经详细研究，决定以投标总报价为人民币大写：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；人民币小写：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元，做为我方的竞价。</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1、愿意按照比选文件中的一切要求，提供本项目采购内容及相关服务。</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2、我方现提交的响应文件为：响应文件正本一份、副本两份、电子版本一份。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3、我方承诺：本次比选的有效期为90天。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4、我方完全理解和接受贵方比选文件的一切规定和要求及评审办法。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5、在整个比选过程中，我方若有违规行为，接受按照《比选文件》之规定给予惩罚。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6、我方若成为成交供应商，将按照最终比选结果签订合同，并且严格履行合同义务。本承诺函将成为合同不可分割的一部分，与合同具有同等的法律效力。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、我方未为采购项目提供整体设计、规范编制或者项目管理、监理、检测等服务。</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jc w:val="left"/>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供应商（公章）：</w:t>
      </w:r>
      <w:r>
        <w:rPr>
          <w:rFonts w:hint="eastAsia" w:ascii="方正仿宋_GBK" w:hAnsi="方正仿宋_GBK" w:eastAsia="方正仿宋_GBK" w:cs="方正仿宋_GBK"/>
          <w:sz w:val="28"/>
          <w:szCs w:val="28"/>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  址：</w:t>
      </w:r>
      <w:r>
        <w:rPr>
          <w:rFonts w:hint="eastAsia" w:ascii="方正仿宋_GBK" w:hAnsi="方正仿宋_GBK" w:eastAsia="方正仿宋_GBK" w:cs="方正仿宋_GBK"/>
          <w:sz w:val="28"/>
          <w:szCs w:val="28"/>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  话：</w:t>
      </w:r>
      <w:r>
        <w:rPr>
          <w:rFonts w:hint="eastAsia" w:ascii="方正仿宋_GBK" w:hAnsi="方正仿宋_GBK" w:eastAsia="方正仿宋_GBK" w:cs="方正仿宋_GBK"/>
          <w:sz w:val="28"/>
          <w:szCs w:val="28"/>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   月   日</w:t>
      </w:r>
    </w:p>
    <w:p>
      <w:pPr>
        <w:pStyle w:val="4"/>
        <w:jc w:val="left"/>
        <w:rPr>
          <w:rFonts w:hint="eastAsia" w:ascii="方正仿宋_GBK" w:hAnsi="方正仿宋_GBK" w:eastAsia="方正仿宋_GBK" w:cs="方正仿宋_GBK"/>
          <w:szCs w:val="28"/>
        </w:rPr>
        <w:sectPr>
          <w:footerReference r:id="rId6" w:type="default"/>
          <w:pgSz w:w="11907" w:h="16840"/>
          <w:pgMar w:top="1134" w:right="1191" w:bottom="1134" w:left="1304" w:header="964" w:footer="850" w:gutter="0"/>
          <w:pgNumType w:fmt="decimal"/>
          <w:cols w:space="720" w:num="1"/>
          <w:docGrid w:linePitch="380" w:charSpace="-5735"/>
        </w:sectPr>
      </w:pPr>
    </w:p>
    <w:p>
      <w:pPr>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方正黑体_GBK" w:hAnsi="方正黑体_GBK" w:eastAsia="方正黑体_GBK" w:cs="方正黑体_GBK"/>
          <w:b w:val="0"/>
          <w:bCs w:val="0"/>
          <w:sz w:val="32"/>
          <w:szCs w:val="32"/>
          <w:lang w:eastAsia="zh-CN"/>
        </w:rPr>
      </w:pPr>
      <w:bookmarkStart w:id="78" w:name="_Toc6879"/>
      <w:r>
        <w:rPr>
          <w:rFonts w:hint="eastAsia" w:ascii="方正黑体_GBK" w:hAnsi="方正黑体_GBK" w:eastAsia="方正黑体_GBK" w:cs="方正黑体_GBK"/>
          <w:b w:val="0"/>
          <w:bCs w:val="0"/>
          <w:sz w:val="32"/>
          <w:szCs w:val="32"/>
          <w:lang w:eastAsia="zh-CN"/>
        </w:rPr>
        <w:t>二、</w:t>
      </w:r>
      <w:bookmarkEnd w:id="78"/>
      <w:r>
        <w:rPr>
          <w:rFonts w:hint="eastAsia" w:ascii="方正黑体_GBK" w:hAnsi="方正黑体_GBK" w:eastAsia="方正黑体_GBK" w:cs="方正黑体_GBK"/>
          <w:b w:val="0"/>
          <w:bCs w:val="0"/>
          <w:sz w:val="32"/>
          <w:szCs w:val="32"/>
          <w:lang w:eastAsia="zh-CN"/>
        </w:rPr>
        <w:t>资格条件及其他</w:t>
      </w:r>
    </w:p>
    <w:p>
      <w:pPr>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（一）法人营业执照（副本）</w:t>
      </w:r>
    </w:p>
    <w:p>
      <w:pPr>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楷体_GBK" w:hAnsi="方正楷体_GBK" w:eastAsia="方正楷体_GBK" w:cs="方正楷体_GBK"/>
          <w:b/>
          <w:bCs/>
          <w:sz w:val="32"/>
          <w:szCs w:val="32"/>
          <w:lang w:eastAsia="zh-CN"/>
        </w:rPr>
      </w:pPr>
    </w:p>
    <w:p>
      <w:pPr>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楷体_GBK" w:hAnsi="方正楷体_GBK" w:eastAsia="方正楷体_GBK" w:cs="方正楷体_GBK"/>
          <w:b/>
          <w:bCs/>
          <w:sz w:val="32"/>
          <w:szCs w:val="32"/>
          <w:lang w:eastAsia="zh-CN"/>
        </w:rPr>
      </w:pPr>
    </w:p>
    <w:p>
      <w:pPr>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楷体_GBK" w:hAnsi="方正楷体_GBK" w:eastAsia="方正楷体_GBK" w:cs="方正楷体_GBK"/>
          <w:b/>
          <w:bCs/>
          <w:sz w:val="32"/>
          <w:szCs w:val="32"/>
          <w:lang w:eastAsia="zh-CN"/>
        </w:rPr>
      </w:pPr>
    </w:p>
    <w:p>
      <w:pPr>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楷体_GBK" w:hAnsi="方正楷体_GBK" w:eastAsia="方正楷体_GBK" w:cs="方正楷体_GBK"/>
          <w:b/>
          <w:bCs/>
          <w:sz w:val="32"/>
          <w:szCs w:val="32"/>
          <w:lang w:eastAsia="zh-CN"/>
        </w:rPr>
      </w:pPr>
    </w:p>
    <w:p>
      <w:pPr>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楷体_GBK" w:hAnsi="方正楷体_GBK" w:eastAsia="方正楷体_GBK" w:cs="方正楷体_GBK"/>
          <w:b/>
          <w:bCs/>
          <w:sz w:val="32"/>
          <w:szCs w:val="32"/>
          <w:lang w:eastAsia="zh-CN"/>
        </w:rPr>
      </w:pPr>
    </w:p>
    <w:p>
      <w:pPr>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楷体_GBK" w:hAnsi="方正楷体_GBK" w:eastAsia="方正楷体_GBK" w:cs="方正楷体_GBK"/>
          <w:b/>
          <w:bCs/>
          <w:sz w:val="32"/>
          <w:szCs w:val="32"/>
          <w:lang w:eastAsia="zh-CN"/>
        </w:rPr>
      </w:pPr>
    </w:p>
    <w:p>
      <w:pPr>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楷体_GBK" w:hAnsi="方正楷体_GBK" w:eastAsia="方正楷体_GBK" w:cs="方正楷体_GBK"/>
          <w:b/>
          <w:bCs/>
          <w:sz w:val="32"/>
          <w:szCs w:val="32"/>
          <w:lang w:eastAsia="zh-CN"/>
        </w:rPr>
      </w:pPr>
    </w:p>
    <w:p>
      <w:pPr>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楷体_GBK" w:hAnsi="方正楷体_GBK" w:eastAsia="方正楷体_GBK" w:cs="方正楷体_GBK"/>
          <w:b/>
          <w:bCs/>
          <w:sz w:val="32"/>
          <w:szCs w:val="32"/>
          <w:lang w:eastAsia="zh-CN"/>
        </w:rPr>
      </w:pPr>
    </w:p>
    <w:p>
      <w:pPr>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楷体_GBK" w:hAnsi="方正楷体_GBK" w:eastAsia="方正楷体_GBK" w:cs="方正楷体_GBK"/>
          <w:b/>
          <w:bCs/>
          <w:sz w:val="32"/>
          <w:szCs w:val="32"/>
          <w:lang w:eastAsia="zh-CN"/>
        </w:rPr>
      </w:pPr>
    </w:p>
    <w:p>
      <w:pPr>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楷体_GBK" w:hAnsi="方正楷体_GBK" w:eastAsia="方正楷体_GBK" w:cs="方正楷体_GBK"/>
          <w:b/>
          <w:bCs/>
          <w:sz w:val="32"/>
          <w:szCs w:val="32"/>
          <w:lang w:eastAsia="zh-CN"/>
        </w:rPr>
      </w:pPr>
    </w:p>
    <w:p>
      <w:pPr>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楷体_GBK" w:hAnsi="方正楷体_GBK" w:eastAsia="方正楷体_GBK" w:cs="方正楷体_GBK"/>
          <w:b/>
          <w:bCs/>
          <w:sz w:val="32"/>
          <w:szCs w:val="32"/>
          <w:lang w:eastAsia="zh-CN"/>
        </w:rPr>
      </w:pPr>
    </w:p>
    <w:p>
      <w:pPr>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楷体_GBK" w:hAnsi="方正楷体_GBK" w:eastAsia="方正楷体_GBK" w:cs="方正楷体_GBK"/>
          <w:b/>
          <w:bCs/>
          <w:sz w:val="32"/>
          <w:szCs w:val="32"/>
          <w:lang w:eastAsia="zh-CN"/>
        </w:rPr>
      </w:pPr>
    </w:p>
    <w:p>
      <w:pPr>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楷体_GBK" w:hAnsi="方正楷体_GBK" w:eastAsia="方正楷体_GBK" w:cs="方正楷体_GBK"/>
          <w:b/>
          <w:bCs/>
          <w:sz w:val="32"/>
          <w:szCs w:val="32"/>
          <w:lang w:eastAsia="zh-CN"/>
        </w:rPr>
      </w:pPr>
    </w:p>
    <w:p>
      <w:pPr>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楷体_GBK" w:hAnsi="方正楷体_GBK" w:eastAsia="方正楷体_GBK" w:cs="方正楷体_GBK"/>
          <w:b/>
          <w:bCs/>
          <w:sz w:val="32"/>
          <w:szCs w:val="32"/>
          <w:lang w:eastAsia="zh-CN"/>
        </w:rPr>
      </w:pPr>
    </w:p>
    <w:p>
      <w:pPr>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楷体_GBK" w:hAnsi="方正楷体_GBK" w:eastAsia="方正楷体_GBK" w:cs="方正楷体_GBK"/>
          <w:b/>
          <w:bCs/>
          <w:sz w:val="32"/>
          <w:szCs w:val="32"/>
          <w:lang w:eastAsia="zh-CN"/>
        </w:rPr>
      </w:pPr>
    </w:p>
    <w:p>
      <w:pPr>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楷体_GBK" w:hAnsi="方正楷体_GBK" w:eastAsia="方正楷体_GBK" w:cs="方正楷体_GBK"/>
          <w:b/>
          <w:bCs/>
          <w:sz w:val="32"/>
          <w:szCs w:val="32"/>
          <w:lang w:eastAsia="zh-CN"/>
        </w:rPr>
      </w:pPr>
    </w:p>
    <w:p>
      <w:pPr>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楷体_GBK" w:hAnsi="方正楷体_GBK" w:eastAsia="方正楷体_GBK" w:cs="方正楷体_GBK"/>
          <w:b/>
          <w:bCs/>
          <w:sz w:val="32"/>
          <w:szCs w:val="32"/>
          <w:lang w:eastAsia="zh-CN"/>
        </w:rPr>
      </w:pPr>
    </w:p>
    <w:p>
      <w:pPr>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楷体_GBK" w:hAnsi="方正楷体_GBK" w:eastAsia="方正楷体_GBK" w:cs="方正楷体_GBK"/>
          <w:b/>
          <w:bCs/>
          <w:sz w:val="32"/>
          <w:szCs w:val="32"/>
          <w:lang w:eastAsia="zh-CN"/>
        </w:rPr>
      </w:pPr>
    </w:p>
    <w:p>
      <w:pPr>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楷体_GBK" w:hAnsi="方正楷体_GBK" w:eastAsia="方正楷体_GBK" w:cs="方正楷体_GBK"/>
          <w:b/>
          <w:bCs/>
          <w:sz w:val="32"/>
          <w:szCs w:val="32"/>
          <w:lang w:eastAsia="zh-CN"/>
        </w:rPr>
      </w:pPr>
    </w:p>
    <w:p>
      <w:pPr>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楷体_GBK" w:hAnsi="方正楷体_GBK" w:eastAsia="方正楷体_GBK" w:cs="方正楷体_GBK"/>
          <w:b/>
          <w:bCs/>
          <w:sz w:val="32"/>
          <w:szCs w:val="32"/>
          <w:lang w:eastAsia="zh-CN"/>
        </w:rPr>
      </w:pPr>
    </w:p>
    <w:p>
      <w:pPr>
        <w:pStyle w:val="2"/>
        <w:rPr>
          <w:rFonts w:hint="eastAsia"/>
          <w:lang w:eastAsia="zh-CN"/>
        </w:rPr>
      </w:pPr>
    </w:p>
    <w:p>
      <w:pPr>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楷体_GBK" w:hAnsi="方正楷体_GBK" w:eastAsia="方正楷体_GBK" w:cs="方正楷体_GBK"/>
          <w:b/>
          <w:bCs/>
          <w:sz w:val="32"/>
          <w:szCs w:val="32"/>
          <w:lang w:eastAsia="zh-CN"/>
        </w:rPr>
      </w:pPr>
    </w:p>
    <w:p>
      <w:pPr>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lang w:eastAsia="zh-CN"/>
        </w:rPr>
        <w:t>（二）</w:t>
      </w:r>
      <w:r>
        <w:rPr>
          <w:rFonts w:hint="eastAsia" w:ascii="方正楷体_GBK" w:hAnsi="方正楷体_GBK" w:eastAsia="方正楷体_GBK" w:cs="方正楷体_GBK"/>
          <w:b/>
          <w:bCs/>
          <w:sz w:val="32"/>
          <w:szCs w:val="32"/>
        </w:rPr>
        <w:t>法定代表人身份证明书</w:t>
      </w:r>
    </w:p>
    <w:p>
      <w:pPr>
        <w:pStyle w:val="2"/>
        <w:spacing w:line="360" w:lineRule="auto"/>
        <w:jc w:val="center"/>
        <w:rPr>
          <w:rFonts w:hint="eastAsia" w:ascii="宋体" w:hAnsi="宋体" w:cs="宋体"/>
          <w:b/>
          <w:bCs/>
          <w:sz w:val="32"/>
          <w:szCs w:val="32"/>
        </w:rPr>
      </w:pPr>
    </w:p>
    <w:p>
      <w:pPr>
        <w:pStyle w:val="2"/>
        <w:spacing w:line="360" w:lineRule="auto"/>
        <w:jc w:val="center"/>
        <w:rPr>
          <w:rFonts w:hint="eastAsia" w:ascii="宋体" w:hAnsi="宋体" w:cs="宋体"/>
        </w:rPr>
      </w:pPr>
      <w:r>
        <w:rPr>
          <w:rFonts w:hint="eastAsia" w:ascii="宋体" w:hAnsi="宋体" w:cs="宋体"/>
          <w:b/>
          <w:bCs/>
          <w:sz w:val="32"/>
          <w:szCs w:val="32"/>
        </w:rPr>
        <w:t>法定代表人身份证明书</w:t>
      </w:r>
    </w:p>
    <w:p>
      <w:pPr>
        <w:tabs>
          <w:tab w:val="left" w:pos="6300"/>
        </w:tabs>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p>
    <w:p>
      <w:pPr>
        <w:tabs>
          <w:tab w:val="left" w:pos="6300"/>
        </w:tabs>
        <w:snapToGrid w:val="0"/>
        <w:spacing w:line="360" w:lineRule="auto"/>
        <w:ind w:firstLine="560" w:firstLineChars="200"/>
        <w:rPr>
          <w:rFonts w:hint="eastAsia" w:ascii="方正仿宋_GBK" w:hAnsi="方正仿宋_GBK" w:eastAsia="方正仿宋_GBK" w:cs="方正仿宋_GBK"/>
          <w:sz w:val="28"/>
          <w:szCs w:val="28"/>
        </w:rPr>
      </w:pPr>
    </w:p>
    <w:p>
      <w:pPr>
        <w:tabs>
          <w:tab w:val="left" w:pos="6300"/>
        </w:tabs>
        <w:snapToGrid w:val="0"/>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w:t>
      </w:r>
      <w:r>
        <w:rPr>
          <w:rFonts w:hint="eastAsia" w:ascii="方正仿宋_GBK" w:hAnsi="方正仿宋_GBK" w:eastAsia="方正仿宋_GBK" w:cs="方正仿宋_GBK"/>
          <w:sz w:val="28"/>
          <w:szCs w:val="28"/>
          <w:highlight w:val="none"/>
          <w:lang w:val="en-US" w:eastAsia="zh-CN"/>
        </w:rPr>
        <w:t>重庆市农业投资集团有限公司</w:t>
      </w:r>
      <w:r>
        <w:rPr>
          <w:rFonts w:hint="eastAsia" w:ascii="方正仿宋_GBK" w:hAnsi="方正仿宋_GBK" w:eastAsia="方正仿宋_GBK" w:cs="方正仿宋_GBK"/>
          <w:sz w:val="28"/>
          <w:szCs w:val="28"/>
          <w:highlight w:val="none"/>
        </w:rPr>
        <w:t>：</w:t>
      </w:r>
    </w:p>
    <w:p>
      <w:pPr>
        <w:tabs>
          <w:tab w:val="left" w:pos="6300"/>
        </w:tabs>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（法定代表人姓名）在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（供应商名称）任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（职务名称）职务，是</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（供应商名称）的法定代表人。</w:t>
      </w:r>
    </w:p>
    <w:p>
      <w:pPr>
        <w:tabs>
          <w:tab w:val="left" w:pos="6300"/>
        </w:tabs>
        <w:snapToGrid w:val="0"/>
        <w:spacing w:line="360" w:lineRule="auto"/>
        <w:ind w:firstLine="560" w:firstLineChars="200"/>
        <w:rPr>
          <w:rFonts w:hint="eastAsia" w:ascii="方正仿宋_GBK" w:hAnsi="方正仿宋_GBK" w:eastAsia="方正仿宋_GBK" w:cs="方正仿宋_GBK"/>
          <w:sz w:val="28"/>
          <w:szCs w:val="28"/>
        </w:rPr>
      </w:pPr>
    </w:p>
    <w:p>
      <w:pPr>
        <w:pStyle w:val="2"/>
        <w:rPr>
          <w:rFonts w:hint="eastAsia"/>
        </w:rPr>
      </w:pPr>
    </w:p>
    <w:p>
      <w:pPr>
        <w:pStyle w:val="2"/>
        <w:rPr>
          <w:rFonts w:hint="eastAsia" w:ascii="方正仿宋_GBK" w:hAnsi="方正仿宋_GBK" w:eastAsia="方正仿宋_GBK" w:cs="方正仿宋_GBK"/>
          <w:sz w:val="28"/>
          <w:szCs w:val="28"/>
        </w:rPr>
      </w:pPr>
    </w:p>
    <w:p>
      <w:pPr>
        <w:rPr>
          <w:rFonts w:hint="eastAsia"/>
        </w:rPr>
      </w:pPr>
    </w:p>
    <w:p>
      <w:pPr>
        <w:tabs>
          <w:tab w:val="left" w:pos="6300"/>
        </w:tabs>
        <w:snapToGrid w:val="0"/>
        <w:spacing w:line="360" w:lineRule="auto"/>
        <w:rPr>
          <w:rFonts w:hint="eastAsia" w:ascii="方正仿宋_GBK" w:hAnsi="方正仿宋_GBK" w:eastAsia="方正仿宋_GBK" w:cs="方正仿宋_GBK"/>
          <w:sz w:val="28"/>
          <w:szCs w:val="28"/>
        </w:rPr>
      </w:pPr>
    </w:p>
    <w:p>
      <w:pPr>
        <w:tabs>
          <w:tab w:val="left" w:pos="6300"/>
        </w:tabs>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pStyle w:val="2"/>
        <w:rPr>
          <w:rFonts w:hint="eastAsia" w:ascii="方正仿宋_GBK" w:hAnsi="方正仿宋_GBK" w:eastAsia="方正仿宋_GBK" w:cs="方正仿宋_GBK"/>
          <w:sz w:val="28"/>
          <w:szCs w:val="28"/>
        </w:rPr>
      </w:pPr>
    </w:p>
    <w:p>
      <w:pPr>
        <w:pStyle w:val="2"/>
        <w:rPr>
          <w:rFonts w:hint="eastAsia"/>
        </w:rPr>
      </w:pPr>
    </w:p>
    <w:p>
      <w:pPr>
        <w:tabs>
          <w:tab w:val="left" w:pos="6300"/>
        </w:tabs>
        <w:snapToGrid w:val="0"/>
        <w:spacing w:line="500" w:lineRule="exact"/>
        <w:ind w:firstLine="570"/>
        <w:rPr>
          <w:rFonts w:hint="eastAsia" w:ascii="方正仿宋_GBK" w:hAnsi="方正仿宋_GBK" w:eastAsia="方正仿宋_GBK" w:cs="方正仿宋_GBK"/>
          <w:sz w:val="28"/>
          <w:szCs w:val="28"/>
        </w:rPr>
      </w:pPr>
    </w:p>
    <w:p>
      <w:pPr>
        <w:tabs>
          <w:tab w:val="left" w:pos="6300"/>
        </w:tabs>
        <w:snapToGrid w:val="0"/>
        <w:spacing w:line="360" w:lineRule="auto"/>
        <w:ind w:firstLine="560" w:firstLineChars="20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（供应商公章）</w:t>
      </w:r>
    </w:p>
    <w:p>
      <w:pPr>
        <w:tabs>
          <w:tab w:val="left" w:pos="6300"/>
        </w:tabs>
        <w:snapToGrid w:val="0"/>
        <w:spacing w:line="360" w:lineRule="auto"/>
        <w:ind w:firstLine="560" w:firstLineChars="20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   月   日</w:t>
      </w:r>
    </w:p>
    <w:p>
      <w:pPr>
        <w:tabs>
          <w:tab w:val="left" w:pos="6300"/>
        </w:tabs>
        <w:snapToGrid w:val="0"/>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法定代表人电话：XXXXXXX      电子邮箱：XXXXXX@XXXXX（若授权他人办理并签署响应文件的可不填写）</w:t>
      </w:r>
    </w:p>
    <w:p>
      <w:pPr>
        <w:tabs>
          <w:tab w:val="left" w:pos="6300"/>
        </w:tabs>
        <w:snapToGrid w:val="0"/>
        <w:spacing w:line="360" w:lineRule="auto"/>
        <w:rPr>
          <w:rFonts w:hint="eastAsia" w:ascii="方正楷体_GBK" w:hAnsi="方正楷体_GBK" w:eastAsia="方正楷体_GBK" w:cs="方正楷体_GBK"/>
          <w:b/>
          <w:bCs/>
          <w:sz w:val="32"/>
          <w:szCs w:val="32"/>
          <w:lang w:eastAsia="zh-CN"/>
        </w:rPr>
      </w:pPr>
      <w:r>
        <w:rPr>
          <w:rFonts w:hint="eastAsia" w:ascii="方正仿宋_GBK" w:hAnsi="方正仿宋_GBK" w:eastAsia="方正仿宋_GBK" w:cs="方正仿宋_GBK"/>
          <w:sz w:val="28"/>
          <w:szCs w:val="28"/>
        </w:rPr>
        <w:t>（附：法定代表人身份证正反面复印件）</w:t>
      </w:r>
    </w:p>
    <w:p>
      <w:pPr>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楷体_GBK" w:hAnsi="方正楷体_GBK" w:eastAsia="方正楷体_GBK" w:cs="方正楷体_GBK"/>
          <w:b/>
          <w:bCs/>
          <w:sz w:val="32"/>
          <w:szCs w:val="32"/>
          <w:lang w:eastAsia="zh-CN"/>
        </w:rPr>
      </w:pPr>
    </w:p>
    <w:p>
      <w:pPr>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楷体_GBK" w:hAnsi="方正楷体_GBK" w:eastAsia="方正楷体_GBK" w:cs="方正楷体_GBK"/>
          <w:b/>
          <w:bCs/>
          <w:sz w:val="32"/>
          <w:szCs w:val="32"/>
          <w:lang w:eastAsia="zh-CN"/>
        </w:rPr>
      </w:pPr>
    </w:p>
    <w:p>
      <w:pPr>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楷体_GBK" w:hAnsi="方正楷体_GBK" w:eastAsia="方正楷体_GBK" w:cs="方正楷体_GBK"/>
          <w:b/>
          <w:bCs/>
          <w:sz w:val="32"/>
          <w:szCs w:val="32"/>
          <w:lang w:eastAsia="zh-CN"/>
        </w:rPr>
      </w:pPr>
    </w:p>
    <w:p>
      <w:pPr>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lang w:eastAsia="zh-CN"/>
        </w:rPr>
        <w:t>（三）</w:t>
      </w:r>
      <w:r>
        <w:rPr>
          <w:rFonts w:hint="eastAsia" w:ascii="方正楷体_GBK" w:hAnsi="方正楷体_GBK" w:eastAsia="方正楷体_GBK" w:cs="方正楷体_GBK"/>
          <w:b/>
          <w:bCs/>
          <w:sz w:val="32"/>
          <w:szCs w:val="32"/>
        </w:rPr>
        <w:t>法定代表人授权委托书</w:t>
      </w:r>
    </w:p>
    <w:p>
      <w:pPr>
        <w:pStyle w:val="2"/>
        <w:spacing w:line="360" w:lineRule="auto"/>
        <w:jc w:val="center"/>
        <w:rPr>
          <w:rFonts w:hint="eastAsia" w:ascii="宋体" w:hAnsi="宋体" w:cs="宋体"/>
        </w:rPr>
      </w:pPr>
      <w:r>
        <w:rPr>
          <w:rFonts w:hint="eastAsia" w:ascii="宋体" w:hAnsi="宋体" w:cs="宋体"/>
          <w:b/>
          <w:bCs/>
          <w:sz w:val="32"/>
          <w:szCs w:val="32"/>
        </w:rPr>
        <w:t>法定代表人授权委托书</w:t>
      </w:r>
    </w:p>
    <w:p>
      <w:pPr>
        <w:tabs>
          <w:tab w:val="left" w:pos="6300"/>
        </w:tabs>
        <w:snapToGrid w:val="0"/>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z w:val="28"/>
          <w:szCs w:val="28"/>
          <w:u w:val="single"/>
        </w:rPr>
        <w:t xml:space="preserve">                           </w:t>
      </w:r>
    </w:p>
    <w:p>
      <w:pPr>
        <w:tabs>
          <w:tab w:val="left" w:pos="6300"/>
        </w:tabs>
        <w:snapToGrid w:val="0"/>
        <w:spacing w:line="360" w:lineRule="auto"/>
        <w:ind w:firstLine="560" w:firstLineChars="200"/>
        <w:rPr>
          <w:rFonts w:hint="eastAsia" w:ascii="方正仿宋_GBK" w:hAnsi="方正仿宋_GBK" w:eastAsia="方正仿宋_GBK" w:cs="方正仿宋_GBK"/>
          <w:sz w:val="28"/>
          <w:szCs w:val="28"/>
        </w:rPr>
      </w:pPr>
    </w:p>
    <w:p>
      <w:pPr>
        <w:tabs>
          <w:tab w:val="left" w:pos="6300"/>
        </w:tabs>
        <w:snapToGrid w:val="0"/>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w:t>
      </w:r>
      <w:r>
        <w:rPr>
          <w:rFonts w:hint="eastAsia" w:ascii="方正仿宋_GBK" w:hAnsi="方正仿宋_GBK" w:eastAsia="方正仿宋_GBK" w:cs="方正仿宋_GBK"/>
          <w:sz w:val="28"/>
          <w:szCs w:val="28"/>
          <w:highlight w:val="none"/>
          <w:lang w:val="en-US" w:eastAsia="zh-CN"/>
        </w:rPr>
        <w:t>重庆市农业投资集团有限公司</w:t>
      </w:r>
      <w:r>
        <w:rPr>
          <w:rFonts w:hint="eastAsia" w:ascii="方正仿宋_GBK" w:hAnsi="方正仿宋_GBK" w:eastAsia="方正仿宋_GBK" w:cs="方正仿宋_GBK"/>
          <w:sz w:val="28"/>
          <w:szCs w:val="28"/>
          <w:highlight w:val="none"/>
        </w:rPr>
        <w:t>：</w:t>
      </w:r>
    </w:p>
    <w:p>
      <w:pPr>
        <w:tabs>
          <w:tab w:val="left" w:pos="6300"/>
        </w:tabs>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（供应商法定代表人名称）是</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（供应商名称）的法定代表人，特授权</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（被授权人姓名及身份证代码）代表我单位全权办理上述项目的比选、签约等具体工作，并签署全部有关文件、协议及合同。</w:t>
      </w:r>
    </w:p>
    <w:p>
      <w:pPr>
        <w:tabs>
          <w:tab w:val="left" w:pos="6300"/>
        </w:tabs>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我单位对被授权人的签署负全部责任。</w:t>
      </w:r>
    </w:p>
    <w:p>
      <w:pPr>
        <w:tabs>
          <w:tab w:val="left" w:pos="6300"/>
        </w:tabs>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在撤销授权的书面通知以前，本授权书一直有效。被授权人在授权书有效期内签署的所有文件不因授权的撤销而失效。</w:t>
      </w:r>
    </w:p>
    <w:p>
      <w:pPr>
        <w:tabs>
          <w:tab w:val="left" w:pos="6300"/>
        </w:tabs>
        <w:snapToGrid w:val="0"/>
        <w:spacing w:line="360" w:lineRule="auto"/>
        <w:rPr>
          <w:rFonts w:hint="eastAsia" w:ascii="方正仿宋_GBK" w:hAnsi="方正仿宋_GBK" w:eastAsia="方正仿宋_GBK" w:cs="方正仿宋_GBK"/>
          <w:sz w:val="28"/>
          <w:szCs w:val="28"/>
        </w:rPr>
      </w:pPr>
    </w:p>
    <w:p>
      <w:pPr>
        <w:tabs>
          <w:tab w:val="left" w:pos="6300"/>
        </w:tabs>
        <w:snapToGrid w:val="0"/>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被授权人：                                 供应商法定代表人：</w:t>
      </w:r>
    </w:p>
    <w:p>
      <w:pPr>
        <w:tabs>
          <w:tab w:val="left" w:pos="6300"/>
        </w:tabs>
        <w:snapToGrid w:val="0"/>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（签署或盖章）                                （签署或盖章）</w:t>
      </w:r>
    </w:p>
    <w:p>
      <w:pPr>
        <w:tabs>
          <w:tab w:val="left" w:pos="6300"/>
        </w:tabs>
        <w:snapToGrid w:val="0"/>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（附：被授权人和法定代表人身份证正反面复印件）</w:t>
      </w:r>
      <w:bookmarkStart w:id="90" w:name="_GoBack"/>
      <w:bookmarkEnd w:id="90"/>
    </w:p>
    <w:p>
      <w:pPr>
        <w:tabs>
          <w:tab w:val="left" w:pos="6300"/>
        </w:tabs>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tabs>
          <w:tab w:val="left" w:pos="6300"/>
        </w:tabs>
        <w:snapToGrid w:val="0"/>
        <w:spacing w:line="360" w:lineRule="auto"/>
        <w:ind w:firstLine="560" w:firstLineChars="20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（供应商公章）</w:t>
      </w:r>
    </w:p>
    <w:p>
      <w:pPr>
        <w:tabs>
          <w:tab w:val="left" w:pos="6300"/>
        </w:tabs>
        <w:snapToGrid w:val="0"/>
        <w:spacing w:line="360" w:lineRule="auto"/>
        <w:ind w:firstLine="560" w:firstLineChars="20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p>
    <w:p>
      <w:pPr>
        <w:tabs>
          <w:tab w:val="left" w:pos="6300"/>
        </w:tabs>
        <w:snapToGrid w:val="0"/>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被授权人电话：XXXXXXX     电子邮箱：XXXXXX@XXXXX（若法定代表人办理并签署响应文件的可不填写）</w:t>
      </w:r>
    </w:p>
    <w:p>
      <w:pPr>
        <w:tabs>
          <w:tab w:val="left" w:pos="6300"/>
        </w:tabs>
        <w:snapToGrid w:val="0"/>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w:t>
      </w:r>
    </w:p>
    <w:p>
      <w:pPr>
        <w:tabs>
          <w:tab w:val="left" w:pos="6300"/>
        </w:tabs>
        <w:snapToGrid w:val="0"/>
        <w:spacing w:line="360" w:lineRule="auto"/>
        <w:ind w:firstLine="560" w:firstLineChars="200"/>
        <w:rPr>
          <w:rFonts w:hint="eastAsia"/>
        </w:rPr>
      </w:pPr>
      <w:r>
        <w:rPr>
          <w:rFonts w:hint="eastAsia" w:ascii="方正仿宋_GBK" w:hAnsi="方正仿宋_GBK" w:eastAsia="方正仿宋_GBK" w:cs="方正仿宋_GBK"/>
          <w:sz w:val="28"/>
          <w:szCs w:val="28"/>
        </w:rPr>
        <w:t>1.若为法定代表人办理并签署响应文件的，不提供此文件。</w:t>
      </w:r>
    </w:p>
    <w:p>
      <w:pPr>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（四）</w:t>
      </w:r>
      <w:r>
        <w:rPr>
          <w:rFonts w:hint="eastAsia" w:ascii="方正楷体_GBK" w:hAnsi="方正楷体_GBK" w:eastAsia="方正楷体_GBK" w:cs="方正楷体_GBK"/>
          <w:b/>
          <w:bCs/>
          <w:sz w:val="32"/>
          <w:szCs w:val="32"/>
        </w:rPr>
        <w:t>基本资格条件承诺函</w:t>
      </w:r>
    </w:p>
    <w:p>
      <w:pPr>
        <w:tabs>
          <w:tab w:val="left" w:pos="6300"/>
        </w:tabs>
        <w:snapToGrid w:val="0"/>
        <w:spacing w:line="500" w:lineRule="exact"/>
        <w:ind w:firstLine="720" w:firstLineChars="200"/>
        <w:jc w:val="center"/>
        <w:rPr>
          <w:rFonts w:hint="eastAsia" w:ascii="宋体" w:hAnsi="宋体" w:cs="宋体"/>
          <w:sz w:val="36"/>
          <w:szCs w:val="36"/>
        </w:rPr>
      </w:pPr>
    </w:p>
    <w:p>
      <w:pPr>
        <w:tabs>
          <w:tab w:val="left" w:pos="6300"/>
        </w:tabs>
        <w:snapToGrid w:val="0"/>
        <w:spacing w:line="360" w:lineRule="auto"/>
        <w:ind w:firstLine="643" w:firstLineChars="200"/>
        <w:jc w:val="center"/>
        <w:rPr>
          <w:rFonts w:hint="eastAsia" w:ascii="宋体" w:hAnsi="宋体" w:cs="宋体"/>
          <w:b/>
          <w:bCs/>
          <w:sz w:val="32"/>
          <w:szCs w:val="32"/>
        </w:rPr>
      </w:pPr>
      <w:r>
        <w:rPr>
          <w:rFonts w:hint="eastAsia" w:ascii="宋体" w:hAnsi="宋体" w:cs="宋体"/>
          <w:b/>
          <w:bCs/>
          <w:sz w:val="32"/>
          <w:szCs w:val="32"/>
        </w:rPr>
        <w:t>基本资格条件承诺函</w:t>
      </w:r>
    </w:p>
    <w:p>
      <w:pPr>
        <w:tabs>
          <w:tab w:val="left" w:pos="6300"/>
        </w:tabs>
        <w:snapToGrid w:val="0"/>
        <w:spacing w:line="360" w:lineRule="auto"/>
        <w:ind w:firstLine="560" w:firstLineChars="200"/>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z w:val="28"/>
          <w:szCs w:val="28"/>
          <w:u w:val="single"/>
        </w:rPr>
        <w:t xml:space="preserve">                                   </w:t>
      </w:r>
    </w:p>
    <w:p>
      <w:pPr>
        <w:tabs>
          <w:tab w:val="left" w:pos="6300"/>
        </w:tabs>
        <w:snapToGrid w:val="0"/>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w:t>
      </w:r>
      <w:r>
        <w:rPr>
          <w:rFonts w:hint="eastAsia" w:ascii="方正仿宋_GBK" w:hAnsi="方正仿宋_GBK" w:eastAsia="方正仿宋_GBK" w:cs="方正仿宋_GBK"/>
          <w:sz w:val="28"/>
          <w:szCs w:val="28"/>
          <w:highlight w:val="none"/>
          <w:lang w:val="en-US" w:eastAsia="zh-CN"/>
        </w:rPr>
        <w:t>重庆市农业投资集团有限公司</w:t>
      </w:r>
      <w:r>
        <w:rPr>
          <w:rFonts w:hint="eastAsia" w:ascii="方正仿宋_GBK" w:hAnsi="方正仿宋_GBK" w:eastAsia="方正仿宋_GBK" w:cs="方正仿宋_GBK"/>
          <w:sz w:val="28"/>
          <w:szCs w:val="28"/>
          <w:highlight w:val="none"/>
        </w:rPr>
        <w:t>：</w:t>
      </w:r>
    </w:p>
    <w:p>
      <w:pPr>
        <w:tabs>
          <w:tab w:val="left" w:pos="6300"/>
        </w:tabs>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供应商名称）郑重承诺，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承诺未列入在信用中国网站（www.creditchina.gov.cn）“失信被执行人”、“税收违法黑名单”中，也未列入中国政府采购网（www.ccgp.gov.cn）“政府采购严重违法失信行为记录名单”中，并随时接受采购人、采购代理机构的检查验证，符合比选文件规定的供应商资格条件。我方对以上承诺负全部法律责任。</w:t>
      </w:r>
    </w:p>
    <w:p>
      <w:pPr>
        <w:tabs>
          <w:tab w:val="left" w:pos="6300"/>
        </w:tabs>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特此承诺。</w:t>
      </w:r>
    </w:p>
    <w:p>
      <w:pPr>
        <w:tabs>
          <w:tab w:val="left" w:pos="6300"/>
        </w:tabs>
        <w:snapToGrid w:val="0"/>
        <w:spacing w:line="360" w:lineRule="auto"/>
        <w:ind w:firstLine="560" w:firstLineChars="200"/>
        <w:rPr>
          <w:rFonts w:hint="eastAsia" w:ascii="方正仿宋_GBK" w:hAnsi="方正仿宋_GBK" w:eastAsia="方正仿宋_GBK" w:cs="方正仿宋_GBK"/>
          <w:sz w:val="28"/>
          <w:szCs w:val="28"/>
        </w:rPr>
      </w:pPr>
    </w:p>
    <w:p>
      <w:pPr>
        <w:tabs>
          <w:tab w:val="left" w:pos="6300"/>
        </w:tabs>
        <w:snapToGrid w:val="0"/>
        <w:spacing w:line="360" w:lineRule="auto"/>
        <w:ind w:firstLine="560" w:firstLineChars="200"/>
        <w:rPr>
          <w:rFonts w:hint="eastAsia" w:ascii="方正仿宋_GBK" w:hAnsi="方正仿宋_GBK" w:eastAsia="方正仿宋_GBK" w:cs="方正仿宋_GBK"/>
          <w:sz w:val="28"/>
          <w:szCs w:val="28"/>
        </w:rPr>
      </w:pPr>
    </w:p>
    <w:p>
      <w:pPr>
        <w:tabs>
          <w:tab w:val="left" w:pos="6300"/>
        </w:tabs>
        <w:snapToGrid w:val="0"/>
        <w:spacing w:line="360" w:lineRule="auto"/>
        <w:ind w:firstLine="560" w:firstLineChars="20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（供应商公章）</w:t>
      </w:r>
    </w:p>
    <w:p>
      <w:pPr>
        <w:tabs>
          <w:tab w:val="left" w:pos="6300"/>
        </w:tabs>
        <w:snapToGrid w:val="0"/>
        <w:spacing w:line="360" w:lineRule="auto"/>
        <w:ind w:firstLine="560" w:firstLineChars="20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p>
    <w:p>
      <w:pPr>
        <w:tabs>
          <w:tab w:val="left" w:pos="6300"/>
        </w:tabs>
        <w:snapToGrid w:val="0"/>
        <w:spacing w:line="360" w:lineRule="auto"/>
        <w:ind w:firstLine="480" w:firstLineChars="200"/>
        <w:rPr>
          <w:rFonts w:hint="eastAsia" w:ascii="宋体" w:hAnsi="宋体" w:cs="宋体"/>
        </w:rPr>
        <w:sectPr>
          <w:pgSz w:w="11907" w:h="16840"/>
          <w:pgMar w:top="1134" w:right="1191" w:bottom="1134" w:left="1304" w:header="851" w:footer="850" w:gutter="0"/>
          <w:pgNumType w:fmt="decimal"/>
          <w:cols w:space="720" w:num="1"/>
          <w:docGrid w:linePitch="380" w:charSpace="-5735"/>
        </w:sectPr>
      </w:pPr>
    </w:p>
    <w:p>
      <w:pPr>
        <w:pageBreakBefore w:val="0"/>
        <w:widowControl w:val="0"/>
        <w:wordWrap/>
        <w:topLinePunct w:val="0"/>
        <w:bidi w:val="0"/>
        <w:spacing w:line="600" w:lineRule="exact"/>
        <w:ind w:firstLine="640" w:firstLineChars="200"/>
        <w:textAlignment w:val="auto"/>
        <w:rPr>
          <w:rFonts w:hint="eastAsia" w:ascii="方正黑体_GBK" w:hAnsi="方正黑体_GBK" w:eastAsia="方正黑体_GBK" w:cs="方正黑体_GBK"/>
          <w:b w:val="0"/>
          <w:bCs w:val="0"/>
          <w:sz w:val="32"/>
          <w:szCs w:val="32"/>
        </w:rPr>
      </w:pPr>
      <w:bookmarkStart w:id="79" w:name="_Toc8023"/>
      <w:bookmarkStart w:id="80" w:name="_Toc18358"/>
      <w:r>
        <w:rPr>
          <w:rFonts w:hint="eastAsia" w:ascii="方正黑体_GBK" w:hAnsi="方正黑体_GBK" w:eastAsia="方正黑体_GBK" w:cs="方正黑体_GBK"/>
          <w:b w:val="0"/>
          <w:bCs w:val="0"/>
          <w:sz w:val="32"/>
          <w:szCs w:val="32"/>
        </w:rPr>
        <w:t>三、</w:t>
      </w:r>
      <w:bookmarkEnd w:id="79"/>
      <w:bookmarkEnd w:id="80"/>
      <w:r>
        <w:rPr>
          <w:rFonts w:hint="eastAsia" w:ascii="方正黑体_GBK" w:hAnsi="方正黑体_GBK" w:eastAsia="方正黑体_GBK" w:cs="方正黑体_GBK"/>
          <w:b w:val="0"/>
          <w:bCs w:val="0"/>
          <w:sz w:val="32"/>
          <w:szCs w:val="32"/>
        </w:rPr>
        <w:t>服务部分</w:t>
      </w:r>
    </w:p>
    <w:p>
      <w:pPr>
        <w:pageBreakBefore w:val="0"/>
        <w:widowControl w:val="0"/>
        <w:kinsoku w:val="0"/>
        <w:wordWrap/>
        <w:overflowPunct w:val="0"/>
        <w:topLinePunct w:val="0"/>
        <w:autoSpaceDE w:val="0"/>
        <w:autoSpaceDN w:val="0"/>
        <w:bidi w:val="0"/>
        <w:adjustRightInd w:val="0"/>
        <w:snapToGrid w:val="0"/>
        <w:spacing w:line="600" w:lineRule="exact"/>
        <w:ind w:firstLine="562" w:firstLineChars="200"/>
        <w:textAlignment w:val="auto"/>
        <w:rPr>
          <w:rFonts w:hint="eastAsia" w:ascii="方正楷体_GBK" w:hAnsi="方正楷体_GBK" w:eastAsia="方正楷体_GBK" w:cs="方正楷体_GBK"/>
          <w:b/>
          <w:bCs/>
          <w:sz w:val="28"/>
          <w:szCs w:val="28"/>
        </w:rPr>
      </w:pPr>
      <w:bookmarkStart w:id="81" w:name="_Toc26108"/>
      <w:r>
        <w:rPr>
          <w:rFonts w:hint="eastAsia" w:ascii="方正楷体_GBK" w:hAnsi="方正楷体_GBK" w:eastAsia="方正楷体_GBK" w:cs="方正楷体_GBK"/>
          <w:b/>
          <w:bCs/>
          <w:sz w:val="28"/>
          <w:szCs w:val="28"/>
        </w:rPr>
        <w:t>（一）服务方案</w:t>
      </w:r>
      <w:r>
        <w:rPr>
          <w:rFonts w:hint="eastAsia" w:ascii="方正楷体_GBK" w:hAnsi="方正楷体_GBK" w:eastAsia="方正楷体_GBK" w:cs="方正楷体_GBK"/>
          <w:b/>
          <w:bCs/>
          <w:sz w:val="32"/>
          <w:szCs w:val="32"/>
          <w:lang w:eastAsia="zh-CN"/>
        </w:rPr>
        <w:t>（自附）</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4"/>
        <w:pageBreakBefore w:val="0"/>
        <w:widowControl w:val="0"/>
        <w:wordWrap/>
        <w:topLinePunct w:val="0"/>
        <w:bidi w:val="0"/>
        <w:spacing w:line="600" w:lineRule="exact"/>
        <w:ind w:firstLine="562" w:firstLineChars="200"/>
        <w:jc w:val="left"/>
        <w:textAlignment w:val="auto"/>
        <w:rPr>
          <w:rFonts w:hint="eastAsia"/>
        </w:rPr>
      </w:pPr>
      <w:r>
        <w:rPr>
          <w:rFonts w:hint="eastAsia"/>
        </w:rPr>
        <w:t>四、</w:t>
      </w:r>
      <w:bookmarkEnd w:id="81"/>
      <w:r>
        <w:rPr>
          <w:rFonts w:hint="eastAsia" w:ascii="方正黑体_GBK" w:hAnsi="方正黑体_GBK" w:eastAsia="方正黑体_GBK" w:cs="方正黑体_GBK"/>
          <w:b w:val="0"/>
          <w:bCs w:val="0"/>
          <w:sz w:val="32"/>
          <w:szCs w:val="32"/>
        </w:rPr>
        <w:t>商务部分</w:t>
      </w:r>
    </w:p>
    <w:p>
      <w:pPr>
        <w:pageBreakBefore w:val="0"/>
        <w:widowControl w:val="0"/>
        <w:kinsoku w:val="0"/>
        <w:wordWrap/>
        <w:overflowPunct w:val="0"/>
        <w:topLinePunct w:val="0"/>
        <w:autoSpaceDE w:val="0"/>
        <w:autoSpaceDN w:val="0"/>
        <w:bidi w:val="0"/>
        <w:adjustRightInd w:val="0"/>
        <w:snapToGrid w:val="0"/>
        <w:spacing w:line="600" w:lineRule="exact"/>
        <w:ind w:firstLine="562" w:firstLineChars="200"/>
        <w:textAlignment w:val="auto"/>
        <w:rPr>
          <w:rFonts w:hint="default" w:ascii="方正楷体_GBK" w:hAnsi="方正楷体_GBK" w:eastAsia="方正楷体_GBK" w:cs="方正楷体_GBK"/>
          <w:b/>
          <w:bCs/>
          <w:sz w:val="28"/>
          <w:szCs w:val="28"/>
          <w:lang w:val="en-US" w:eastAsia="zh-CN"/>
        </w:rPr>
      </w:pPr>
      <w:r>
        <w:rPr>
          <w:rFonts w:hint="eastAsia" w:ascii="方正楷体_GBK" w:hAnsi="方正楷体_GBK" w:eastAsia="方正楷体_GBK" w:cs="方正楷体_GBK"/>
          <w:b/>
          <w:bCs/>
          <w:sz w:val="28"/>
          <w:szCs w:val="28"/>
        </w:rPr>
        <w:t>（一）</w:t>
      </w:r>
      <w:r>
        <w:rPr>
          <w:rFonts w:hint="eastAsia" w:ascii="方正楷体_GBK" w:hAnsi="方正楷体_GBK" w:eastAsia="方正楷体_GBK" w:cs="方正楷体_GBK"/>
          <w:b/>
          <w:bCs/>
          <w:sz w:val="28"/>
          <w:szCs w:val="28"/>
          <w:lang w:val="en-US" w:eastAsia="zh-CN"/>
        </w:rPr>
        <w:t>商务响应偏离表</w:t>
      </w:r>
    </w:p>
    <w:p>
      <w:pPr>
        <w:tabs>
          <w:tab w:val="left" w:pos="6300"/>
        </w:tabs>
        <w:snapToGrid w:val="0"/>
        <w:spacing w:line="360" w:lineRule="auto"/>
        <w:jc w:val="center"/>
        <w:rPr>
          <w:rFonts w:hint="eastAsia" w:ascii="宋体" w:hAnsi="宋体" w:cs="宋体"/>
          <w:b/>
          <w:sz w:val="36"/>
          <w:szCs w:val="36"/>
        </w:rPr>
      </w:pPr>
    </w:p>
    <w:p>
      <w:pPr>
        <w:tabs>
          <w:tab w:val="left" w:pos="6300"/>
        </w:tabs>
        <w:snapToGrid w:val="0"/>
        <w:spacing w:line="360" w:lineRule="auto"/>
        <w:jc w:val="center"/>
        <w:rPr>
          <w:rFonts w:hint="eastAsia" w:ascii="宋体" w:hAnsi="宋体" w:cs="宋体"/>
          <w:b/>
          <w:sz w:val="36"/>
          <w:szCs w:val="36"/>
        </w:rPr>
      </w:pPr>
      <w:r>
        <w:rPr>
          <w:rFonts w:hint="eastAsia" w:ascii="宋体" w:hAnsi="宋体" w:cs="宋体"/>
          <w:b/>
          <w:sz w:val="36"/>
          <w:szCs w:val="36"/>
        </w:rPr>
        <w:t>商务响应偏离表</w:t>
      </w:r>
    </w:p>
    <w:p>
      <w:pPr>
        <w:tabs>
          <w:tab w:val="left" w:pos="6300"/>
        </w:tabs>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z w:val="28"/>
          <w:szCs w:val="28"/>
        </w:rPr>
        <w:tab/>
      </w:r>
    </w:p>
    <w:tbl>
      <w:tblPr>
        <w:tblStyle w:val="63"/>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2428"/>
        <w:gridCol w:w="252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1666" w:type="dxa"/>
            <w:noWrap w:val="0"/>
            <w:vAlign w:val="center"/>
          </w:tcPr>
          <w:p>
            <w:pPr>
              <w:tabs>
                <w:tab w:val="left" w:pos="6300"/>
              </w:tabs>
              <w:snapToGrid w:val="0"/>
              <w:spacing w:line="500" w:lineRule="exact"/>
              <w:jc w:val="center"/>
              <w:rPr>
                <w:rFonts w:hint="eastAsia" w:ascii="方正仿宋_GBK" w:hAnsi="方正仿宋_GBK" w:eastAsia="方正仿宋_GBK" w:cs="方正仿宋_GBK"/>
                <w:b/>
                <w:bCs/>
                <w:sz w:val="28"/>
                <w:szCs w:val="28"/>
              </w:rPr>
            </w:pPr>
            <w:bookmarkStart w:id="82" w:name="_Toc20782"/>
            <w:bookmarkStart w:id="83" w:name="_Toc193701021"/>
            <w:r>
              <w:rPr>
                <w:rFonts w:hint="eastAsia" w:ascii="方正仿宋_GBK" w:hAnsi="方正仿宋_GBK" w:eastAsia="方正仿宋_GBK" w:cs="方正仿宋_GBK"/>
                <w:b/>
                <w:bCs/>
                <w:sz w:val="28"/>
                <w:szCs w:val="28"/>
              </w:rPr>
              <w:t>序号</w:t>
            </w:r>
            <w:bookmarkEnd w:id="82"/>
            <w:bookmarkEnd w:id="83"/>
          </w:p>
        </w:tc>
        <w:tc>
          <w:tcPr>
            <w:tcW w:w="2428" w:type="dxa"/>
            <w:noWrap w:val="0"/>
            <w:vAlign w:val="center"/>
          </w:tcPr>
          <w:p>
            <w:pPr>
              <w:tabs>
                <w:tab w:val="left" w:pos="6300"/>
              </w:tabs>
              <w:snapToGrid w:val="0"/>
              <w:spacing w:line="500" w:lineRule="exact"/>
              <w:jc w:val="center"/>
              <w:rPr>
                <w:rFonts w:hint="eastAsia" w:ascii="方正仿宋_GBK" w:hAnsi="方正仿宋_GBK" w:eastAsia="方正仿宋_GBK" w:cs="方正仿宋_GBK"/>
                <w:b/>
                <w:bCs/>
                <w:sz w:val="28"/>
                <w:szCs w:val="28"/>
              </w:rPr>
            </w:pPr>
            <w:bookmarkStart w:id="84" w:name="_Toc22335"/>
            <w:bookmarkStart w:id="85" w:name="_Toc193701022"/>
            <w:r>
              <w:rPr>
                <w:rFonts w:hint="eastAsia" w:ascii="方正仿宋_GBK" w:hAnsi="方正仿宋_GBK" w:eastAsia="方正仿宋_GBK" w:cs="方正仿宋_GBK"/>
                <w:b/>
                <w:bCs/>
                <w:sz w:val="28"/>
                <w:szCs w:val="28"/>
              </w:rPr>
              <w:t>采购需求</w:t>
            </w:r>
            <w:bookmarkEnd w:id="84"/>
            <w:bookmarkEnd w:id="85"/>
          </w:p>
        </w:tc>
        <w:tc>
          <w:tcPr>
            <w:tcW w:w="2520" w:type="dxa"/>
            <w:noWrap w:val="0"/>
            <w:vAlign w:val="center"/>
          </w:tcPr>
          <w:p>
            <w:pPr>
              <w:tabs>
                <w:tab w:val="left" w:pos="6300"/>
              </w:tabs>
              <w:snapToGrid w:val="0"/>
              <w:spacing w:line="500" w:lineRule="exact"/>
              <w:jc w:val="center"/>
              <w:rPr>
                <w:rFonts w:hint="eastAsia" w:ascii="方正仿宋_GBK" w:hAnsi="方正仿宋_GBK" w:eastAsia="方正仿宋_GBK" w:cs="方正仿宋_GBK"/>
                <w:b/>
                <w:bCs/>
                <w:sz w:val="28"/>
                <w:szCs w:val="28"/>
              </w:rPr>
            </w:pPr>
            <w:bookmarkStart w:id="86" w:name="_Toc26032"/>
            <w:bookmarkStart w:id="87" w:name="_Toc193701023"/>
            <w:r>
              <w:rPr>
                <w:rFonts w:hint="eastAsia" w:ascii="方正仿宋_GBK" w:hAnsi="方正仿宋_GBK" w:eastAsia="方正仿宋_GBK" w:cs="方正仿宋_GBK"/>
                <w:b/>
                <w:bCs/>
                <w:sz w:val="28"/>
                <w:szCs w:val="28"/>
              </w:rPr>
              <w:t>响应情况</w:t>
            </w:r>
            <w:bookmarkEnd w:id="86"/>
            <w:bookmarkEnd w:id="87"/>
          </w:p>
        </w:tc>
        <w:tc>
          <w:tcPr>
            <w:tcW w:w="2222" w:type="dxa"/>
            <w:noWrap w:val="0"/>
            <w:vAlign w:val="center"/>
          </w:tcPr>
          <w:p>
            <w:pPr>
              <w:tabs>
                <w:tab w:val="left" w:pos="6300"/>
              </w:tabs>
              <w:snapToGrid w:val="0"/>
              <w:spacing w:line="500" w:lineRule="exact"/>
              <w:jc w:val="center"/>
              <w:rPr>
                <w:rFonts w:hint="eastAsia" w:ascii="方正仿宋_GBK" w:hAnsi="方正仿宋_GBK" w:eastAsia="方正仿宋_GBK" w:cs="方正仿宋_GBK"/>
                <w:b/>
                <w:bCs/>
                <w:sz w:val="28"/>
                <w:szCs w:val="28"/>
              </w:rPr>
            </w:pPr>
            <w:bookmarkStart w:id="88" w:name="_Toc193701024"/>
            <w:bookmarkStart w:id="89" w:name="_Toc4000"/>
            <w:r>
              <w:rPr>
                <w:rFonts w:hint="eastAsia" w:ascii="方正仿宋_GBK" w:hAnsi="方正仿宋_GBK" w:eastAsia="方正仿宋_GBK" w:cs="方正仿宋_GBK"/>
                <w:b/>
                <w:bCs/>
                <w:sz w:val="28"/>
                <w:szCs w:val="28"/>
              </w:rPr>
              <w:t>差异说明</w:t>
            </w:r>
            <w:bookmarkEnd w:id="88"/>
            <w:bookmarkEnd w:id="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noWrap w:val="0"/>
            <w:vAlign w:val="center"/>
          </w:tcPr>
          <w:p>
            <w:pPr>
              <w:tabs>
                <w:tab w:val="left" w:pos="6300"/>
              </w:tabs>
              <w:snapToGrid w:val="0"/>
              <w:spacing w:line="500" w:lineRule="exact"/>
              <w:ind w:firstLine="560" w:firstLineChars="200"/>
              <w:jc w:val="center"/>
              <w:rPr>
                <w:rFonts w:hint="eastAsia" w:ascii="方正仿宋_GBK" w:hAnsi="方正仿宋_GBK" w:eastAsia="方正仿宋_GBK" w:cs="方正仿宋_GBK"/>
                <w:sz w:val="28"/>
                <w:szCs w:val="28"/>
              </w:rPr>
            </w:pPr>
          </w:p>
        </w:tc>
        <w:tc>
          <w:tcPr>
            <w:tcW w:w="2428" w:type="dxa"/>
            <w:noWrap w:val="0"/>
            <w:vAlign w:val="center"/>
          </w:tcPr>
          <w:p>
            <w:pPr>
              <w:tabs>
                <w:tab w:val="left" w:pos="6300"/>
              </w:tabs>
              <w:snapToGrid w:val="0"/>
              <w:spacing w:line="500" w:lineRule="exact"/>
              <w:ind w:firstLine="560" w:firstLineChars="200"/>
              <w:jc w:val="center"/>
              <w:rPr>
                <w:rFonts w:hint="eastAsia" w:ascii="方正仿宋_GBK" w:hAnsi="方正仿宋_GBK" w:eastAsia="方正仿宋_GBK" w:cs="方正仿宋_GBK"/>
                <w:sz w:val="28"/>
                <w:szCs w:val="28"/>
              </w:rPr>
            </w:pPr>
          </w:p>
        </w:tc>
        <w:tc>
          <w:tcPr>
            <w:tcW w:w="2520" w:type="dxa"/>
            <w:noWrap w:val="0"/>
            <w:vAlign w:val="center"/>
          </w:tcPr>
          <w:p>
            <w:pPr>
              <w:tabs>
                <w:tab w:val="left" w:pos="6300"/>
              </w:tabs>
              <w:snapToGrid w:val="0"/>
              <w:spacing w:line="500" w:lineRule="exact"/>
              <w:ind w:firstLine="560" w:firstLineChars="200"/>
              <w:jc w:val="center"/>
              <w:rPr>
                <w:rFonts w:hint="eastAsia" w:ascii="方正仿宋_GBK" w:hAnsi="方正仿宋_GBK" w:eastAsia="方正仿宋_GBK" w:cs="方正仿宋_GBK"/>
                <w:sz w:val="28"/>
                <w:szCs w:val="28"/>
              </w:rPr>
            </w:pPr>
          </w:p>
        </w:tc>
        <w:tc>
          <w:tcPr>
            <w:tcW w:w="2222" w:type="dxa"/>
            <w:noWrap w:val="0"/>
            <w:vAlign w:val="center"/>
          </w:tcPr>
          <w:p>
            <w:pPr>
              <w:tabs>
                <w:tab w:val="left" w:pos="6300"/>
              </w:tabs>
              <w:snapToGrid w:val="0"/>
              <w:spacing w:line="500" w:lineRule="exact"/>
              <w:ind w:firstLine="560" w:firstLineChars="200"/>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noWrap w:val="0"/>
            <w:vAlign w:val="center"/>
          </w:tcPr>
          <w:p>
            <w:pPr>
              <w:tabs>
                <w:tab w:val="left" w:pos="6300"/>
              </w:tabs>
              <w:snapToGrid w:val="0"/>
              <w:spacing w:line="500" w:lineRule="exact"/>
              <w:ind w:firstLine="560" w:firstLineChars="200"/>
              <w:jc w:val="center"/>
              <w:rPr>
                <w:rFonts w:hint="eastAsia" w:ascii="方正仿宋_GBK" w:hAnsi="方正仿宋_GBK" w:eastAsia="方正仿宋_GBK" w:cs="方正仿宋_GBK"/>
                <w:sz w:val="28"/>
                <w:szCs w:val="28"/>
              </w:rPr>
            </w:pPr>
          </w:p>
        </w:tc>
        <w:tc>
          <w:tcPr>
            <w:tcW w:w="2428" w:type="dxa"/>
            <w:noWrap w:val="0"/>
            <w:vAlign w:val="center"/>
          </w:tcPr>
          <w:p>
            <w:pPr>
              <w:tabs>
                <w:tab w:val="left" w:pos="6300"/>
              </w:tabs>
              <w:snapToGrid w:val="0"/>
              <w:spacing w:line="500" w:lineRule="exact"/>
              <w:ind w:firstLine="560" w:firstLineChars="200"/>
              <w:jc w:val="center"/>
              <w:rPr>
                <w:rFonts w:hint="eastAsia" w:ascii="方正仿宋_GBK" w:hAnsi="方正仿宋_GBK" w:eastAsia="方正仿宋_GBK" w:cs="方正仿宋_GBK"/>
                <w:sz w:val="28"/>
                <w:szCs w:val="28"/>
              </w:rPr>
            </w:pPr>
          </w:p>
        </w:tc>
        <w:tc>
          <w:tcPr>
            <w:tcW w:w="2520" w:type="dxa"/>
            <w:noWrap w:val="0"/>
            <w:vAlign w:val="center"/>
          </w:tcPr>
          <w:p>
            <w:pPr>
              <w:tabs>
                <w:tab w:val="left" w:pos="6300"/>
              </w:tabs>
              <w:snapToGrid w:val="0"/>
              <w:spacing w:line="500" w:lineRule="exact"/>
              <w:ind w:firstLine="560" w:firstLineChars="200"/>
              <w:jc w:val="center"/>
              <w:rPr>
                <w:rFonts w:hint="eastAsia" w:ascii="方正仿宋_GBK" w:hAnsi="方正仿宋_GBK" w:eastAsia="方正仿宋_GBK" w:cs="方正仿宋_GBK"/>
                <w:sz w:val="28"/>
                <w:szCs w:val="28"/>
              </w:rPr>
            </w:pPr>
          </w:p>
        </w:tc>
        <w:tc>
          <w:tcPr>
            <w:tcW w:w="2222" w:type="dxa"/>
            <w:noWrap w:val="0"/>
            <w:vAlign w:val="center"/>
          </w:tcPr>
          <w:p>
            <w:pPr>
              <w:tabs>
                <w:tab w:val="left" w:pos="6300"/>
              </w:tabs>
              <w:snapToGrid w:val="0"/>
              <w:spacing w:line="500" w:lineRule="exact"/>
              <w:ind w:firstLine="560" w:firstLineChars="200"/>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noWrap w:val="0"/>
            <w:vAlign w:val="center"/>
          </w:tcPr>
          <w:p>
            <w:pPr>
              <w:tabs>
                <w:tab w:val="left" w:pos="6300"/>
              </w:tabs>
              <w:snapToGrid w:val="0"/>
              <w:spacing w:line="500" w:lineRule="exact"/>
              <w:ind w:firstLine="560" w:firstLineChars="200"/>
              <w:jc w:val="center"/>
              <w:rPr>
                <w:rFonts w:hint="eastAsia" w:ascii="方正仿宋_GBK" w:hAnsi="方正仿宋_GBK" w:eastAsia="方正仿宋_GBK" w:cs="方正仿宋_GBK"/>
                <w:sz w:val="28"/>
                <w:szCs w:val="28"/>
              </w:rPr>
            </w:pPr>
          </w:p>
        </w:tc>
        <w:tc>
          <w:tcPr>
            <w:tcW w:w="2428" w:type="dxa"/>
            <w:noWrap w:val="0"/>
            <w:vAlign w:val="center"/>
          </w:tcPr>
          <w:p>
            <w:pPr>
              <w:tabs>
                <w:tab w:val="left" w:pos="6300"/>
              </w:tabs>
              <w:snapToGrid w:val="0"/>
              <w:spacing w:line="500" w:lineRule="exact"/>
              <w:ind w:firstLine="560" w:firstLineChars="200"/>
              <w:jc w:val="center"/>
              <w:rPr>
                <w:rFonts w:hint="eastAsia" w:ascii="方正仿宋_GBK" w:hAnsi="方正仿宋_GBK" w:eastAsia="方正仿宋_GBK" w:cs="方正仿宋_GBK"/>
                <w:sz w:val="28"/>
                <w:szCs w:val="28"/>
              </w:rPr>
            </w:pPr>
          </w:p>
        </w:tc>
        <w:tc>
          <w:tcPr>
            <w:tcW w:w="2520" w:type="dxa"/>
            <w:noWrap w:val="0"/>
            <w:vAlign w:val="center"/>
          </w:tcPr>
          <w:p>
            <w:pPr>
              <w:tabs>
                <w:tab w:val="left" w:pos="6300"/>
              </w:tabs>
              <w:snapToGrid w:val="0"/>
              <w:spacing w:line="500" w:lineRule="exact"/>
              <w:ind w:firstLine="560" w:firstLineChars="200"/>
              <w:jc w:val="center"/>
              <w:rPr>
                <w:rFonts w:hint="eastAsia" w:ascii="方正仿宋_GBK" w:hAnsi="方正仿宋_GBK" w:eastAsia="方正仿宋_GBK" w:cs="方正仿宋_GBK"/>
                <w:sz w:val="28"/>
                <w:szCs w:val="28"/>
              </w:rPr>
            </w:pPr>
          </w:p>
        </w:tc>
        <w:tc>
          <w:tcPr>
            <w:tcW w:w="2222" w:type="dxa"/>
            <w:noWrap w:val="0"/>
            <w:vAlign w:val="center"/>
          </w:tcPr>
          <w:p>
            <w:pPr>
              <w:tabs>
                <w:tab w:val="left" w:pos="6300"/>
              </w:tabs>
              <w:snapToGrid w:val="0"/>
              <w:spacing w:line="500" w:lineRule="exact"/>
              <w:ind w:firstLine="560" w:firstLineChars="200"/>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noWrap w:val="0"/>
            <w:vAlign w:val="center"/>
          </w:tcPr>
          <w:p>
            <w:pPr>
              <w:tabs>
                <w:tab w:val="left" w:pos="6300"/>
              </w:tabs>
              <w:snapToGrid w:val="0"/>
              <w:spacing w:line="500" w:lineRule="exact"/>
              <w:ind w:firstLine="560" w:firstLineChars="200"/>
              <w:jc w:val="center"/>
              <w:rPr>
                <w:rFonts w:hint="eastAsia" w:ascii="方正仿宋_GBK" w:hAnsi="方正仿宋_GBK" w:eastAsia="方正仿宋_GBK" w:cs="方正仿宋_GBK"/>
                <w:sz w:val="28"/>
                <w:szCs w:val="28"/>
              </w:rPr>
            </w:pPr>
          </w:p>
        </w:tc>
        <w:tc>
          <w:tcPr>
            <w:tcW w:w="2428" w:type="dxa"/>
            <w:noWrap w:val="0"/>
            <w:vAlign w:val="center"/>
          </w:tcPr>
          <w:p>
            <w:pPr>
              <w:tabs>
                <w:tab w:val="left" w:pos="6300"/>
              </w:tabs>
              <w:snapToGrid w:val="0"/>
              <w:spacing w:line="500" w:lineRule="exact"/>
              <w:ind w:firstLine="560" w:firstLineChars="200"/>
              <w:jc w:val="center"/>
              <w:rPr>
                <w:rFonts w:hint="eastAsia" w:ascii="方正仿宋_GBK" w:hAnsi="方正仿宋_GBK" w:eastAsia="方正仿宋_GBK" w:cs="方正仿宋_GBK"/>
                <w:sz w:val="28"/>
                <w:szCs w:val="28"/>
              </w:rPr>
            </w:pPr>
          </w:p>
        </w:tc>
        <w:tc>
          <w:tcPr>
            <w:tcW w:w="2520" w:type="dxa"/>
            <w:noWrap w:val="0"/>
            <w:vAlign w:val="center"/>
          </w:tcPr>
          <w:p>
            <w:pPr>
              <w:tabs>
                <w:tab w:val="left" w:pos="6300"/>
              </w:tabs>
              <w:snapToGrid w:val="0"/>
              <w:spacing w:line="500" w:lineRule="exact"/>
              <w:ind w:firstLine="560" w:firstLineChars="200"/>
              <w:jc w:val="center"/>
              <w:rPr>
                <w:rFonts w:hint="eastAsia" w:ascii="方正仿宋_GBK" w:hAnsi="方正仿宋_GBK" w:eastAsia="方正仿宋_GBK" w:cs="方正仿宋_GBK"/>
                <w:sz w:val="28"/>
                <w:szCs w:val="28"/>
              </w:rPr>
            </w:pPr>
          </w:p>
        </w:tc>
        <w:tc>
          <w:tcPr>
            <w:tcW w:w="2222" w:type="dxa"/>
            <w:noWrap w:val="0"/>
            <w:vAlign w:val="center"/>
          </w:tcPr>
          <w:p>
            <w:pPr>
              <w:tabs>
                <w:tab w:val="left" w:pos="6300"/>
              </w:tabs>
              <w:snapToGrid w:val="0"/>
              <w:spacing w:line="500" w:lineRule="exact"/>
              <w:ind w:firstLine="560" w:firstLineChars="200"/>
              <w:jc w:val="center"/>
              <w:rPr>
                <w:rFonts w:hint="eastAsia" w:ascii="方正仿宋_GBK" w:hAnsi="方正仿宋_GBK" w:eastAsia="方正仿宋_GBK" w:cs="方正仿宋_GBK"/>
                <w:sz w:val="28"/>
                <w:szCs w:val="28"/>
              </w:rPr>
            </w:pPr>
          </w:p>
        </w:tc>
      </w:tr>
    </w:tbl>
    <w:p>
      <w:pPr>
        <w:tabs>
          <w:tab w:val="left" w:pos="6300"/>
        </w:tabs>
        <w:snapToGrid w:val="0"/>
        <w:spacing w:line="360" w:lineRule="auto"/>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               法定代表人（或法定代表人授权代表）或自然人：</w:t>
      </w:r>
    </w:p>
    <w:p>
      <w:pPr>
        <w:tabs>
          <w:tab w:val="left" w:pos="6300"/>
        </w:tabs>
        <w:snapToGrid w:val="0"/>
        <w:spacing w:line="360" w:lineRule="auto"/>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（供应商公章）                                       （签字或盖章）</w:t>
      </w:r>
    </w:p>
    <w:p>
      <w:pPr>
        <w:tabs>
          <w:tab w:val="left" w:pos="6300"/>
        </w:tabs>
        <w:snapToGrid w:val="0"/>
        <w:spacing w:line="360" w:lineRule="auto"/>
        <w:ind w:firstLine="560" w:firstLineChars="20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     月     日</w:t>
      </w:r>
    </w:p>
    <w:p>
      <w:pPr>
        <w:tabs>
          <w:tab w:val="left" w:pos="6300"/>
        </w:tabs>
        <w:snapToGrid w:val="0"/>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w:t>
      </w:r>
    </w:p>
    <w:p>
      <w:pPr>
        <w:tabs>
          <w:tab w:val="left" w:pos="6300"/>
        </w:tabs>
        <w:snapToGrid w:val="0"/>
        <w:spacing w:line="360" w:lineRule="auto"/>
        <w:ind w:firstLine="560" w:firstLineChars="200"/>
        <w:rPr>
          <w:rFonts w:hint="eastAsia" w:ascii="方正仿宋_GBK" w:hAnsi="方正仿宋_GBK" w:eastAsia="方正仿宋_GBK" w:cs="方正仿宋_GBK"/>
          <w:sz w:val="28"/>
          <w:szCs w:val="28"/>
          <w:lang w:val="en-US" w:eastAsia="zh-CN"/>
        </w:rPr>
      </w:pPr>
      <w:r>
        <w:rPr>
          <w:rFonts w:hint="default" w:ascii="Times New Roman" w:hAnsi="Times New Roman" w:eastAsia="方正仿宋_GBK" w:cs="Times New Roman"/>
          <w:sz w:val="28"/>
          <w:szCs w:val="28"/>
          <w:lang w:val="en-US" w:eastAsia="zh-CN"/>
        </w:rPr>
        <w:t>1.</w:t>
      </w:r>
      <w:r>
        <w:rPr>
          <w:rFonts w:hint="eastAsia" w:ascii="方正仿宋_GBK" w:hAnsi="方正仿宋_GBK" w:eastAsia="方正仿宋_GBK" w:cs="方正仿宋_GBK"/>
          <w:sz w:val="28"/>
          <w:szCs w:val="28"/>
          <w:lang w:val="en-US" w:eastAsia="zh-CN"/>
        </w:rPr>
        <w:t>本表即为对本项目“第三篇 比选程序及方法、评审标准、响应无效和采购终止”的“二、评审标准”中“商务部分”所列全部条款进行比较和响应。</w:t>
      </w:r>
    </w:p>
    <w:p>
      <w:pPr>
        <w:tabs>
          <w:tab w:val="left" w:pos="6300"/>
        </w:tabs>
        <w:snapToGrid w:val="0"/>
        <w:spacing w:line="360" w:lineRule="auto"/>
        <w:ind w:firstLine="560" w:firstLineChars="200"/>
        <w:rPr>
          <w:rFonts w:hint="eastAsia" w:ascii="方正仿宋_GBK" w:hAnsi="方正仿宋_GBK" w:eastAsia="方正仿宋_GBK" w:cs="方正仿宋_GBK"/>
          <w:sz w:val="28"/>
          <w:szCs w:val="28"/>
          <w:lang w:val="en-US" w:eastAsia="zh-CN"/>
        </w:rPr>
      </w:pPr>
      <w:r>
        <w:rPr>
          <w:rFonts w:hint="eastAsia" w:ascii="Times New Roman" w:hAnsi="Times New Roman" w:eastAsia="方正仿宋_GBK" w:cs="Times New Roman"/>
          <w:sz w:val="28"/>
          <w:szCs w:val="28"/>
          <w:lang w:val="en-US" w:eastAsia="zh-CN"/>
        </w:rPr>
        <w:t>2.</w:t>
      </w:r>
      <w:r>
        <w:rPr>
          <w:rFonts w:hint="eastAsia" w:ascii="方正仿宋_GBK" w:hAnsi="方正仿宋_GBK" w:eastAsia="方正仿宋_GBK" w:cs="方正仿宋_GBK"/>
          <w:sz w:val="28"/>
          <w:szCs w:val="28"/>
          <w:lang w:val="en-US" w:eastAsia="zh-CN"/>
        </w:rPr>
        <w:t>“响应情况”栏：应详细描述供应商对采购需求的具体满足情况或承诺。不得仅填写“满足”、“响应”、“无偏离”等简单词语。</w:t>
      </w:r>
    </w:p>
    <w:p>
      <w:pPr>
        <w:tabs>
          <w:tab w:val="left" w:pos="6300"/>
        </w:tabs>
        <w:snapToGrid w:val="0"/>
        <w:spacing w:line="360" w:lineRule="auto"/>
        <w:ind w:firstLine="560" w:firstLineChars="200"/>
        <w:rPr>
          <w:rFonts w:hint="eastAsia" w:ascii="方正仿宋_GBK" w:hAnsi="方正仿宋_GBK" w:eastAsia="方正仿宋_GBK" w:cs="方正仿宋_GBK"/>
          <w:sz w:val="28"/>
          <w:szCs w:val="28"/>
          <w:lang w:val="en-US" w:eastAsia="zh-CN"/>
        </w:rPr>
      </w:pPr>
      <w:r>
        <w:rPr>
          <w:rFonts w:hint="eastAsia"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sz w:val="28"/>
          <w:szCs w:val="28"/>
          <w:lang w:val="en-US" w:eastAsia="zh-CN"/>
        </w:rPr>
        <w:t>“差异说明”栏：如响应情况与要求完全一致，请填写“无差异”；如优于采购需求，请填写“正偏离”并简要说明；如不满足采购需求，请填写“负偏离”并简要说明。</w:t>
      </w:r>
    </w:p>
    <w:p>
      <w:pPr>
        <w:tabs>
          <w:tab w:val="left" w:pos="6300"/>
        </w:tabs>
        <w:snapToGrid w:val="0"/>
        <w:spacing w:line="360" w:lineRule="auto"/>
        <w:ind w:firstLine="560" w:firstLineChars="200"/>
        <w:rPr>
          <w:rFonts w:hint="eastAsia" w:ascii="方正仿宋_GBK" w:hAnsi="方正仿宋_GBK" w:eastAsia="方正仿宋_GBK" w:cs="方正仿宋_GBK"/>
          <w:sz w:val="28"/>
          <w:szCs w:val="28"/>
        </w:rPr>
        <w:sectPr>
          <w:pgSz w:w="11907" w:h="16840"/>
          <w:pgMar w:top="1134" w:right="1191" w:bottom="1134" w:left="1304" w:header="964" w:footer="850" w:gutter="0"/>
          <w:pgNumType w:fmt="decimal"/>
          <w:cols w:space="720" w:num="1"/>
          <w:docGrid w:linePitch="380" w:charSpace="-5735"/>
        </w:sectPr>
      </w:pPr>
      <w:r>
        <w:rPr>
          <w:rFonts w:hint="default" w:ascii="Times New Roman" w:hAnsi="Times New Roman" w:eastAsia="方正仿宋_GBK" w:cs="Times New Roman"/>
          <w:sz w:val="28"/>
          <w:szCs w:val="28"/>
          <w:lang w:val="en-US" w:eastAsia="zh-CN"/>
        </w:rPr>
        <w:t>4</w:t>
      </w:r>
      <w:r>
        <w:rPr>
          <w:rFonts w:hint="eastAsia" w:ascii="Times New Roman" w:hAnsi="Times New Roman" w:eastAsia="方正仿宋_GBK" w:cs="Times New Roman"/>
          <w:sz w:val="28"/>
          <w:szCs w:val="28"/>
          <w:lang w:val="en-US" w:eastAsia="zh-CN"/>
        </w:rPr>
        <w:t>.</w:t>
      </w:r>
      <w:r>
        <w:rPr>
          <w:rFonts w:hint="eastAsia" w:ascii="方正仿宋_GBK" w:hAnsi="方正仿宋_GBK" w:eastAsia="方正仿宋_GBK" w:cs="方正仿宋_GBK"/>
          <w:sz w:val="28"/>
          <w:szCs w:val="28"/>
        </w:rPr>
        <w:t>该表可扩展。</w:t>
      </w:r>
    </w:p>
    <w:p>
      <w:pPr>
        <w:pageBreakBefore w:val="0"/>
        <w:widowControl w:val="0"/>
        <w:kinsoku w:val="0"/>
        <w:wordWrap/>
        <w:overflowPunct w:val="0"/>
        <w:topLinePunct w:val="0"/>
        <w:autoSpaceDE w:val="0"/>
        <w:autoSpaceDN w:val="0"/>
        <w:bidi w:val="0"/>
        <w:adjustRightInd w:val="0"/>
        <w:snapToGrid w:val="0"/>
        <w:spacing w:line="600" w:lineRule="exact"/>
        <w:textAlignment w:val="auto"/>
        <w:rPr>
          <w:rFonts w:hint="eastAsia" w:ascii="方正楷体_GBK" w:hAnsi="方正楷体_GBK" w:eastAsia="方正楷体_GBK" w:cs="方正楷体_GBK"/>
          <w:b/>
          <w:bCs/>
          <w:sz w:val="28"/>
          <w:szCs w:val="28"/>
          <w:lang w:eastAsia="zh-CN"/>
        </w:rPr>
      </w:pPr>
    </w:p>
    <w:p>
      <w:pPr>
        <w:pageBreakBefore w:val="0"/>
        <w:widowControl w:val="0"/>
        <w:kinsoku w:val="0"/>
        <w:wordWrap/>
        <w:overflowPunct w:val="0"/>
        <w:topLinePunct w:val="0"/>
        <w:autoSpaceDE w:val="0"/>
        <w:autoSpaceDN w:val="0"/>
        <w:bidi w:val="0"/>
        <w:adjustRightInd w:val="0"/>
        <w:snapToGrid w:val="0"/>
        <w:spacing w:line="600" w:lineRule="exact"/>
        <w:ind w:firstLine="562" w:firstLineChars="200"/>
        <w:textAlignment w:val="auto"/>
        <w:rPr>
          <w:rFonts w:hint="eastAsia" w:ascii="方正楷体_GBK" w:hAnsi="方正楷体_GBK" w:eastAsia="方正楷体_GBK" w:cs="方正楷体_GBK"/>
          <w:b/>
          <w:bCs/>
          <w:sz w:val="28"/>
          <w:szCs w:val="28"/>
          <w:lang w:eastAsia="zh-CN"/>
        </w:rPr>
      </w:pPr>
      <w:r>
        <w:rPr>
          <w:rFonts w:hint="eastAsia" w:ascii="方正楷体_GBK" w:hAnsi="方正楷体_GBK" w:eastAsia="方正楷体_GBK" w:cs="方正楷体_GBK"/>
          <w:b/>
          <w:bCs/>
          <w:sz w:val="28"/>
          <w:szCs w:val="28"/>
          <w:lang w:eastAsia="zh-CN"/>
        </w:rPr>
        <w:t>（二）人员</w:t>
      </w:r>
      <w:r>
        <w:rPr>
          <w:rFonts w:hint="eastAsia" w:ascii="方正楷体_GBK" w:hAnsi="方正楷体_GBK" w:eastAsia="方正楷体_GBK" w:cs="方正楷体_GBK"/>
          <w:b/>
          <w:bCs/>
          <w:sz w:val="28"/>
          <w:szCs w:val="28"/>
          <w:lang w:val="en-US" w:eastAsia="zh-CN"/>
        </w:rPr>
        <w:t>资质</w:t>
      </w:r>
      <w:r>
        <w:rPr>
          <w:rFonts w:hint="eastAsia" w:ascii="方正楷体_GBK" w:hAnsi="方正楷体_GBK" w:eastAsia="方正楷体_GBK" w:cs="方正楷体_GBK"/>
          <w:b/>
          <w:bCs/>
          <w:sz w:val="28"/>
          <w:szCs w:val="28"/>
          <w:lang w:eastAsia="zh-CN"/>
        </w:rPr>
        <w:t>材料</w:t>
      </w:r>
      <w:r>
        <w:rPr>
          <w:rFonts w:hint="eastAsia" w:ascii="方正楷体_GBK" w:hAnsi="方正楷体_GBK" w:eastAsia="方正楷体_GBK" w:cs="方正楷体_GBK"/>
          <w:b/>
          <w:bCs/>
          <w:sz w:val="32"/>
          <w:szCs w:val="32"/>
          <w:lang w:eastAsia="zh-CN"/>
        </w:rPr>
        <w:t>（自附）</w:t>
      </w:r>
    </w:p>
    <w:p>
      <w:pPr>
        <w:pageBreakBefore w:val="0"/>
        <w:widowControl w:val="0"/>
        <w:kinsoku w:val="0"/>
        <w:wordWrap/>
        <w:overflowPunct w:val="0"/>
        <w:topLinePunct w:val="0"/>
        <w:autoSpaceDE w:val="0"/>
        <w:autoSpaceDN w:val="0"/>
        <w:bidi w:val="0"/>
        <w:adjustRightInd w:val="0"/>
        <w:snapToGrid w:val="0"/>
        <w:spacing w:line="600" w:lineRule="exact"/>
        <w:ind w:firstLine="562" w:firstLineChars="200"/>
        <w:textAlignment w:val="auto"/>
        <w:rPr>
          <w:rFonts w:hint="eastAsia" w:ascii="方正楷体_GBK" w:hAnsi="方正楷体_GBK" w:eastAsia="方正楷体_GBK" w:cs="方正楷体_GBK"/>
          <w:b/>
          <w:bCs/>
          <w:sz w:val="28"/>
          <w:szCs w:val="28"/>
          <w:lang w:eastAsia="zh-CN"/>
        </w:rPr>
      </w:pPr>
      <w:r>
        <w:rPr>
          <w:rFonts w:hint="eastAsia" w:ascii="方正楷体_GBK" w:hAnsi="方正楷体_GBK" w:eastAsia="方正楷体_GBK" w:cs="方正楷体_GBK"/>
          <w:b/>
          <w:bCs/>
          <w:sz w:val="28"/>
          <w:szCs w:val="28"/>
          <w:lang w:eastAsia="zh-CN"/>
        </w:rPr>
        <w:t>（三）</w:t>
      </w:r>
      <w:r>
        <w:rPr>
          <w:rFonts w:hint="default" w:ascii="方正楷体_GBK" w:hAnsi="方正楷体_GBK" w:eastAsia="方正楷体_GBK" w:cs="方正楷体_GBK"/>
          <w:b/>
          <w:bCs/>
          <w:sz w:val="28"/>
          <w:szCs w:val="28"/>
          <w:lang w:eastAsia="zh-CN"/>
        </w:rPr>
        <w:t>业绩</w:t>
      </w:r>
      <w:r>
        <w:rPr>
          <w:rFonts w:hint="eastAsia" w:ascii="方正楷体_GBK" w:hAnsi="方正楷体_GBK" w:eastAsia="方正楷体_GBK" w:cs="方正楷体_GBK"/>
          <w:b/>
          <w:bCs/>
          <w:sz w:val="28"/>
          <w:szCs w:val="28"/>
          <w:lang w:eastAsia="zh-CN"/>
        </w:rPr>
        <w:t>材料</w:t>
      </w:r>
      <w:r>
        <w:rPr>
          <w:rFonts w:hint="eastAsia" w:ascii="方正楷体_GBK" w:hAnsi="方正楷体_GBK" w:eastAsia="方正楷体_GBK" w:cs="方正楷体_GBK"/>
          <w:b/>
          <w:bCs/>
          <w:sz w:val="32"/>
          <w:szCs w:val="32"/>
          <w:lang w:eastAsia="zh-CN"/>
        </w:rPr>
        <w:t>（自附）</w:t>
      </w:r>
    </w:p>
    <w:p>
      <w:pPr>
        <w:tabs>
          <w:tab w:val="left" w:pos="6300"/>
        </w:tabs>
        <w:snapToGrid w:val="0"/>
        <w:spacing w:line="360" w:lineRule="auto"/>
        <w:jc w:val="center"/>
        <w:rPr>
          <w:rFonts w:hint="eastAsia" w:ascii="方正仿宋_GBK" w:hAnsi="方正仿宋_GBK" w:eastAsia="方正仿宋_GBK" w:cs="方正仿宋_GBK"/>
        </w:rPr>
      </w:pPr>
    </w:p>
    <w:p>
      <w:pPr>
        <w:tabs>
          <w:tab w:val="left" w:pos="6300"/>
        </w:tabs>
        <w:snapToGrid w:val="0"/>
        <w:spacing w:line="360" w:lineRule="auto"/>
        <w:jc w:val="center"/>
        <w:rPr>
          <w:rFonts w:hint="eastAsia" w:ascii="方正仿宋_GBK" w:hAnsi="方正仿宋_GBK" w:eastAsia="方正仿宋_GBK" w:cs="方正仿宋_GBK"/>
        </w:rPr>
      </w:pPr>
    </w:p>
    <w:p>
      <w:pPr>
        <w:tabs>
          <w:tab w:val="left" w:pos="6300"/>
        </w:tabs>
        <w:snapToGrid w:val="0"/>
        <w:spacing w:line="360" w:lineRule="auto"/>
        <w:jc w:val="center"/>
        <w:rPr>
          <w:rFonts w:hint="eastAsia" w:ascii="方正仿宋_GBK" w:hAnsi="方正仿宋_GBK" w:eastAsia="方正仿宋_GBK" w:cs="方正仿宋_GBK"/>
        </w:rPr>
      </w:pPr>
    </w:p>
    <w:p>
      <w:pPr>
        <w:tabs>
          <w:tab w:val="left" w:pos="6300"/>
        </w:tabs>
        <w:snapToGrid w:val="0"/>
        <w:spacing w:line="360" w:lineRule="auto"/>
        <w:jc w:val="center"/>
        <w:rPr>
          <w:rFonts w:hint="eastAsia" w:ascii="方正仿宋_GBK" w:hAnsi="方正仿宋_GBK" w:eastAsia="方正仿宋_GBK" w:cs="方正仿宋_GBK"/>
        </w:rPr>
      </w:pPr>
    </w:p>
    <w:p>
      <w:pPr>
        <w:tabs>
          <w:tab w:val="left" w:pos="6300"/>
        </w:tabs>
        <w:snapToGrid w:val="0"/>
        <w:spacing w:line="360" w:lineRule="auto"/>
        <w:jc w:val="center"/>
        <w:rPr>
          <w:rFonts w:hint="eastAsia" w:ascii="方正仿宋_GBK" w:hAnsi="方正仿宋_GBK" w:eastAsia="方正仿宋_GBK" w:cs="方正仿宋_GBK"/>
        </w:rPr>
      </w:pPr>
    </w:p>
    <w:p>
      <w:pPr>
        <w:tabs>
          <w:tab w:val="left" w:pos="6300"/>
        </w:tabs>
        <w:snapToGrid w:val="0"/>
        <w:spacing w:line="360" w:lineRule="auto"/>
        <w:jc w:val="center"/>
        <w:rPr>
          <w:rFonts w:hint="eastAsia" w:ascii="方正仿宋_GBK" w:hAnsi="方正仿宋_GBK" w:eastAsia="方正仿宋_GBK" w:cs="方正仿宋_GBK"/>
        </w:rPr>
      </w:pPr>
    </w:p>
    <w:p>
      <w:pPr>
        <w:tabs>
          <w:tab w:val="left" w:pos="6300"/>
        </w:tabs>
        <w:snapToGrid w:val="0"/>
        <w:spacing w:line="360" w:lineRule="auto"/>
        <w:jc w:val="center"/>
        <w:rPr>
          <w:rFonts w:hint="eastAsia" w:ascii="方正仿宋_GBK" w:hAnsi="方正仿宋_GBK" w:eastAsia="方正仿宋_GBK" w:cs="方正仿宋_GBK"/>
        </w:rPr>
      </w:pPr>
    </w:p>
    <w:p>
      <w:pPr>
        <w:tabs>
          <w:tab w:val="left" w:pos="6300"/>
        </w:tabs>
        <w:snapToGrid w:val="0"/>
        <w:spacing w:line="360" w:lineRule="auto"/>
        <w:jc w:val="center"/>
        <w:rPr>
          <w:rFonts w:hint="eastAsia" w:ascii="方正仿宋_GBK" w:hAnsi="方正仿宋_GBK" w:eastAsia="方正仿宋_GBK" w:cs="方正仿宋_GBK"/>
        </w:rPr>
      </w:pPr>
    </w:p>
    <w:p>
      <w:pPr>
        <w:tabs>
          <w:tab w:val="left" w:pos="6300"/>
        </w:tabs>
        <w:snapToGrid w:val="0"/>
        <w:spacing w:line="360" w:lineRule="auto"/>
        <w:jc w:val="center"/>
        <w:rPr>
          <w:rFonts w:hint="eastAsia" w:ascii="方正仿宋_GBK" w:hAnsi="方正仿宋_GBK" w:eastAsia="方正仿宋_GBK" w:cs="方正仿宋_GBK"/>
        </w:rPr>
      </w:pPr>
    </w:p>
    <w:p>
      <w:pPr>
        <w:tabs>
          <w:tab w:val="left" w:pos="6300"/>
        </w:tabs>
        <w:snapToGrid w:val="0"/>
        <w:spacing w:line="360" w:lineRule="auto"/>
        <w:jc w:val="center"/>
        <w:rPr>
          <w:rFonts w:hint="eastAsia" w:ascii="方正仿宋_GBK" w:hAnsi="方正仿宋_GBK" w:eastAsia="方正仿宋_GBK" w:cs="方正仿宋_GBK"/>
        </w:rPr>
      </w:pPr>
    </w:p>
    <w:p>
      <w:pPr>
        <w:tabs>
          <w:tab w:val="left" w:pos="6300"/>
        </w:tabs>
        <w:snapToGrid w:val="0"/>
        <w:spacing w:line="360" w:lineRule="auto"/>
        <w:jc w:val="center"/>
        <w:rPr>
          <w:rFonts w:hint="eastAsia" w:ascii="方正仿宋_GBK" w:hAnsi="方正仿宋_GBK" w:eastAsia="方正仿宋_GBK" w:cs="方正仿宋_GBK"/>
        </w:rPr>
      </w:pPr>
    </w:p>
    <w:p>
      <w:pPr>
        <w:tabs>
          <w:tab w:val="left" w:pos="6300"/>
        </w:tabs>
        <w:snapToGrid w:val="0"/>
        <w:spacing w:line="360" w:lineRule="auto"/>
        <w:jc w:val="center"/>
        <w:rPr>
          <w:rFonts w:hint="eastAsia" w:ascii="方正仿宋_GBK" w:hAnsi="方正仿宋_GBK" w:eastAsia="方正仿宋_GBK" w:cs="方正仿宋_GBK"/>
        </w:rPr>
      </w:pPr>
    </w:p>
    <w:p>
      <w:pPr>
        <w:tabs>
          <w:tab w:val="left" w:pos="6300"/>
        </w:tabs>
        <w:snapToGrid w:val="0"/>
        <w:spacing w:line="360" w:lineRule="auto"/>
        <w:jc w:val="center"/>
        <w:rPr>
          <w:rFonts w:hint="eastAsia" w:ascii="方正仿宋_GBK" w:hAnsi="方正仿宋_GBK" w:eastAsia="方正仿宋_GBK" w:cs="方正仿宋_GBK"/>
        </w:rPr>
      </w:pPr>
    </w:p>
    <w:p>
      <w:pPr>
        <w:tabs>
          <w:tab w:val="left" w:pos="6300"/>
        </w:tabs>
        <w:snapToGrid w:val="0"/>
        <w:spacing w:line="360" w:lineRule="auto"/>
        <w:jc w:val="center"/>
        <w:rPr>
          <w:rFonts w:hint="eastAsia" w:ascii="方正仿宋_GBK" w:hAnsi="方正仿宋_GBK" w:eastAsia="方正仿宋_GBK" w:cs="方正仿宋_GBK"/>
        </w:rPr>
      </w:pPr>
    </w:p>
    <w:p>
      <w:pPr>
        <w:tabs>
          <w:tab w:val="left" w:pos="6300"/>
        </w:tabs>
        <w:snapToGrid w:val="0"/>
        <w:spacing w:line="360" w:lineRule="auto"/>
        <w:jc w:val="center"/>
        <w:rPr>
          <w:rFonts w:hint="eastAsia" w:ascii="方正仿宋_GBK" w:hAnsi="方正仿宋_GBK" w:eastAsia="方正仿宋_GBK" w:cs="方正仿宋_GBK"/>
        </w:rPr>
      </w:pPr>
    </w:p>
    <w:p>
      <w:pPr>
        <w:tabs>
          <w:tab w:val="left" w:pos="6300"/>
        </w:tabs>
        <w:snapToGrid w:val="0"/>
        <w:spacing w:line="360" w:lineRule="auto"/>
        <w:jc w:val="center"/>
        <w:rPr>
          <w:rFonts w:hint="eastAsia" w:ascii="方正仿宋_GBK" w:hAnsi="方正仿宋_GBK" w:eastAsia="方正仿宋_GBK" w:cs="方正仿宋_GBK"/>
        </w:rPr>
      </w:pPr>
    </w:p>
    <w:p>
      <w:pPr>
        <w:tabs>
          <w:tab w:val="left" w:pos="6300"/>
        </w:tabs>
        <w:snapToGrid w:val="0"/>
        <w:spacing w:line="360" w:lineRule="auto"/>
        <w:jc w:val="center"/>
        <w:rPr>
          <w:rFonts w:hint="eastAsia" w:ascii="方正仿宋_GBK" w:hAnsi="方正仿宋_GBK" w:eastAsia="方正仿宋_GBK" w:cs="方正仿宋_GBK"/>
        </w:rPr>
      </w:pPr>
    </w:p>
    <w:p>
      <w:pPr>
        <w:tabs>
          <w:tab w:val="left" w:pos="6300"/>
        </w:tabs>
        <w:snapToGrid w:val="0"/>
        <w:spacing w:line="360" w:lineRule="auto"/>
        <w:jc w:val="center"/>
        <w:rPr>
          <w:rFonts w:hint="eastAsia" w:ascii="方正仿宋_GBK" w:hAnsi="方正仿宋_GBK" w:eastAsia="方正仿宋_GBK" w:cs="方正仿宋_GBK"/>
        </w:rPr>
      </w:pPr>
    </w:p>
    <w:p>
      <w:pPr>
        <w:tabs>
          <w:tab w:val="left" w:pos="6300"/>
        </w:tabs>
        <w:snapToGrid w:val="0"/>
        <w:spacing w:line="360" w:lineRule="auto"/>
        <w:jc w:val="center"/>
        <w:rPr>
          <w:rFonts w:hint="eastAsia" w:ascii="方正仿宋_GBK" w:hAnsi="方正仿宋_GBK" w:eastAsia="方正仿宋_GBK" w:cs="方正仿宋_GBK"/>
        </w:rPr>
      </w:pPr>
    </w:p>
    <w:p>
      <w:pPr>
        <w:tabs>
          <w:tab w:val="left" w:pos="6300"/>
        </w:tabs>
        <w:snapToGrid w:val="0"/>
        <w:spacing w:line="360" w:lineRule="auto"/>
        <w:jc w:val="center"/>
        <w:rPr>
          <w:rFonts w:hint="eastAsia" w:ascii="方正仿宋_GBK" w:hAnsi="方正仿宋_GBK" w:eastAsia="方正仿宋_GBK" w:cs="方正仿宋_GBK"/>
        </w:rPr>
      </w:pPr>
      <w:r>
        <w:rPr>
          <w:rFonts w:hint="eastAsia" w:ascii="方正仿宋_GBK" w:hAnsi="方正仿宋_GBK" w:eastAsia="方正仿宋_GBK" w:cs="方正仿宋_GBK"/>
        </w:rPr>
        <w:t>（结束）</w:t>
      </w:r>
    </w:p>
    <w:p>
      <w:pPr>
        <w:tabs>
          <w:tab w:val="left" w:pos="6300"/>
        </w:tabs>
        <w:snapToGrid w:val="0"/>
        <w:spacing w:line="360" w:lineRule="auto"/>
        <w:ind w:firstLine="480" w:firstLineChars="200"/>
        <w:rPr>
          <w:rFonts w:hint="eastAsia" w:ascii="宋体" w:hAnsi="宋体" w:cs="宋体"/>
        </w:rPr>
      </w:pPr>
    </w:p>
    <w:sectPr>
      <w:footerReference r:id="rId7" w:type="default"/>
      <w:pgSz w:w="11906" w:h="16838"/>
      <w:pgMar w:top="1418" w:right="1274" w:bottom="1560" w:left="1276" w:header="964"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Trebuchet MS"/>
    <w:panose1 w:val="02010601000101010101"/>
    <w:charset w:val="00"/>
    <w:family w:val="roman"/>
    <w:pitch w:val="default"/>
    <w:sig w:usb0="00000000" w:usb1="00000000" w:usb2="00000016" w:usb3="00000000" w:csb0="00100001" w:csb1="00000000"/>
  </w:font>
  <w:font w:name="仿宋_GB2312">
    <w:altName w:val="仿宋"/>
    <w:panose1 w:val="02010609030101010101"/>
    <w:charset w:val="00"/>
    <w:family w:val="modern"/>
    <w:pitch w:val="default"/>
    <w:sig w:usb0="00000000" w:usb1="00000000" w:usb2="00000000" w:usb3="00000000" w:csb0="00040000" w:csb1="00000000"/>
  </w:font>
  <w:font w:name="昆仑楷体">
    <w:altName w:val="方正楷体_GBK"/>
    <w:panose1 w:val="00000000000000000000"/>
    <w:charset w:val="00"/>
    <w:family w:val="modern"/>
    <w:pitch w:val="default"/>
    <w:sig w:usb0="00000000" w:usb1="00000000" w:usb2="0000001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方正黑体_GBK"/>
    <w:panose1 w:val="00000000000000000000"/>
    <w:charset w:val="00"/>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swiss"/>
    <w:pitch w:val="default"/>
    <w:sig w:usb0="00000000" w:usb1="00000000" w:usb2="00000000" w:usb3="00000000" w:csb0="2000019F" w:csb1="4F01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3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19</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3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19</w:t>
                    </w:r>
                    <w:r>
                      <w:rPr>
                        <w:sz w:val="28"/>
                        <w:szCs w:val="28"/>
                      </w:rPr>
                      <w:fldChar w:fldCharType="end"/>
                    </w:r>
                    <w:r>
                      <w:rPr>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30</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3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30</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1"/>
      </w:pBdr>
      <w:jc w:val="both"/>
      <w:rPr>
        <w:rFonts w:hint="eastAsia" w:ascii="仿宋" w:hAnsi="仿宋" w:eastAsia="仿宋" w:cs="仿宋"/>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34231"/>
    <w:multiLevelType w:val="singleLevel"/>
    <w:tmpl w:val="A5334231"/>
    <w:lvl w:ilvl="0" w:tentative="0">
      <w:start w:val="1"/>
      <w:numFmt w:val="chineseCounting"/>
      <w:suff w:val="space"/>
      <w:lvlText w:val="第%1篇"/>
      <w:lvlJc w:val="left"/>
      <w:rPr>
        <w:rFonts w:hint="eastAsia"/>
      </w:rPr>
    </w:lvl>
  </w:abstractNum>
  <w:abstractNum w:abstractNumId="1">
    <w:nsid w:val="00000009"/>
    <w:multiLevelType w:val="multilevel"/>
    <w:tmpl w:val="00000009"/>
    <w:lvl w:ilvl="0" w:tentative="0">
      <w:start w:val="1"/>
      <w:numFmt w:val="upperLetter"/>
      <w:pStyle w:val="202"/>
      <w:suff w:val="nothing"/>
      <w:lvlText w:val="附　录　%1"/>
      <w:lvlJc w:val="left"/>
      <w:pPr>
        <w:ind w:left="0" w:firstLine="0"/>
      </w:pPr>
      <w:rPr>
        <w:rFonts w:hint="eastAsia" w:ascii="黑体" w:hAnsi="Times New Roman" w:eastAsia="黑体"/>
        <w:b w:val="0"/>
        <w:i w:val="0"/>
        <w:sz w:val="21"/>
      </w:rPr>
    </w:lvl>
    <w:lvl w:ilvl="1" w:tentative="0">
      <w:start w:val="1"/>
      <w:numFmt w:val="decimal"/>
      <w:pStyle w:val="220"/>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9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209"/>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67"/>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7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201"/>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3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4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52"/>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7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23"/>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9"/>
  </w:num>
  <w:num w:numId="2">
    <w:abstractNumId w:val="10"/>
  </w:num>
  <w:num w:numId="3">
    <w:abstractNumId w:val="11"/>
  </w:num>
  <w:num w:numId="4">
    <w:abstractNumId w:val="5"/>
  </w:num>
  <w:num w:numId="5">
    <w:abstractNumId w:val="2"/>
  </w:num>
  <w:num w:numId="6">
    <w:abstractNumId w:val="6"/>
  </w:num>
  <w:num w:numId="7">
    <w:abstractNumId w:val="1"/>
  </w:num>
  <w:num w:numId="8">
    <w:abstractNumId w:val="3"/>
  </w:num>
  <w:num w:numId="9">
    <w:abstractNumId w:val="13"/>
  </w:num>
  <w:num w:numId="10">
    <w:abstractNumId w:val="7"/>
  </w:num>
  <w:num w:numId="11">
    <w:abstractNumId w:val="8"/>
  </w:num>
  <w:num w:numId="12">
    <w:abstractNumId w:val="4"/>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hyphenationZone w:val="360"/>
  <w:drawingGridHorizontalSpacing w:val="109"/>
  <w:drawingGridVerticalSpacing w:val="1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jUyNmYwYjM2NmM3YzU5MmQxNmRmMmY4ZDNkM2EifQ=="/>
  </w:docVars>
  <w:rsids>
    <w:rsidRoot w:val="00815721"/>
    <w:rsid w:val="00003052"/>
    <w:rsid w:val="00014EDA"/>
    <w:rsid w:val="00026849"/>
    <w:rsid w:val="000337E7"/>
    <w:rsid w:val="00047E7F"/>
    <w:rsid w:val="00050781"/>
    <w:rsid w:val="00066D1E"/>
    <w:rsid w:val="00070523"/>
    <w:rsid w:val="000734C8"/>
    <w:rsid w:val="00074A9F"/>
    <w:rsid w:val="0007519E"/>
    <w:rsid w:val="00082E79"/>
    <w:rsid w:val="0009527F"/>
    <w:rsid w:val="000A72ED"/>
    <w:rsid w:val="000B4CA6"/>
    <w:rsid w:val="000B5176"/>
    <w:rsid w:val="000C6B7F"/>
    <w:rsid w:val="000D317D"/>
    <w:rsid w:val="000D3BF1"/>
    <w:rsid w:val="000D7D16"/>
    <w:rsid w:val="000E2C45"/>
    <w:rsid w:val="000F2AF6"/>
    <w:rsid w:val="001061FA"/>
    <w:rsid w:val="00114858"/>
    <w:rsid w:val="001204C4"/>
    <w:rsid w:val="00131977"/>
    <w:rsid w:val="00166FD8"/>
    <w:rsid w:val="0017392C"/>
    <w:rsid w:val="0018115C"/>
    <w:rsid w:val="001A44E2"/>
    <w:rsid w:val="001A4F67"/>
    <w:rsid w:val="001A5B98"/>
    <w:rsid w:val="001A7531"/>
    <w:rsid w:val="001D553A"/>
    <w:rsid w:val="001E7888"/>
    <w:rsid w:val="001F09F5"/>
    <w:rsid w:val="00251C3B"/>
    <w:rsid w:val="00257C20"/>
    <w:rsid w:val="00295CA7"/>
    <w:rsid w:val="002A1404"/>
    <w:rsid w:val="002B0A29"/>
    <w:rsid w:val="002B28D7"/>
    <w:rsid w:val="002D5411"/>
    <w:rsid w:val="002E03D6"/>
    <w:rsid w:val="002E7F96"/>
    <w:rsid w:val="00316EBA"/>
    <w:rsid w:val="00330A8C"/>
    <w:rsid w:val="00347D14"/>
    <w:rsid w:val="00357F04"/>
    <w:rsid w:val="0038571E"/>
    <w:rsid w:val="003F04DF"/>
    <w:rsid w:val="00401303"/>
    <w:rsid w:val="00404779"/>
    <w:rsid w:val="00423778"/>
    <w:rsid w:val="00435AE3"/>
    <w:rsid w:val="00453F65"/>
    <w:rsid w:val="00476253"/>
    <w:rsid w:val="00486242"/>
    <w:rsid w:val="00496BC4"/>
    <w:rsid w:val="004A1CE7"/>
    <w:rsid w:val="004E3FC4"/>
    <w:rsid w:val="00526F3F"/>
    <w:rsid w:val="00554181"/>
    <w:rsid w:val="005A7215"/>
    <w:rsid w:val="005D1B32"/>
    <w:rsid w:val="005D6D70"/>
    <w:rsid w:val="0061212D"/>
    <w:rsid w:val="00622516"/>
    <w:rsid w:val="00622ABD"/>
    <w:rsid w:val="00631043"/>
    <w:rsid w:val="00640DB3"/>
    <w:rsid w:val="00662024"/>
    <w:rsid w:val="006A2461"/>
    <w:rsid w:val="006E3CA0"/>
    <w:rsid w:val="0072523F"/>
    <w:rsid w:val="00731C61"/>
    <w:rsid w:val="0074246D"/>
    <w:rsid w:val="00755970"/>
    <w:rsid w:val="00756555"/>
    <w:rsid w:val="007637D0"/>
    <w:rsid w:val="00777B97"/>
    <w:rsid w:val="00792419"/>
    <w:rsid w:val="007B007F"/>
    <w:rsid w:val="007C42C7"/>
    <w:rsid w:val="00815721"/>
    <w:rsid w:val="00827498"/>
    <w:rsid w:val="008464F0"/>
    <w:rsid w:val="00851079"/>
    <w:rsid w:val="00856AF7"/>
    <w:rsid w:val="0088152E"/>
    <w:rsid w:val="008850C6"/>
    <w:rsid w:val="008932E2"/>
    <w:rsid w:val="008B5AFC"/>
    <w:rsid w:val="008D0463"/>
    <w:rsid w:val="008E0A9B"/>
    <w:rsid w:val="009168F2"/>
    <w:rsid w:val="00927CD3"/>
    <w:rsid w:val="00946634"/>
    <w:rsid w:val="00947B0D"/>
    <w:rsid w:val="00972485"/>
    <w:rsid w:val="009744C0"/>
    <w:rsid w:val="00976CB6"/>
    <w:rsid w:val="00983930"/>
    <w:rsid w:val="009927AA"/>
    <w:rsid w:val="00997262"/>
    <w:rsid w:val="009C45A0"/>
    <w:rsid w:val="009E195D"/>
    <w:rsid w:val="009E77FF"/>
    <w:rsid w:val="00A038DE"/>
    <w:rsid w:val="00A20EBA"/>
    <w:rsid w:val="00A21488"/>
    <w:rsid w:val="00A374B4"/>
    <w:rsid w:val="00A60446"/>
    <w:rsid w:val="00A62DEC"/>
    <w:rsid w:val="00A7087C"/>
    <w:rsid w:val="00A95636"/>
    <w:rsid w:val="00AA3E54"/>
    <w:rsid w:val="00AB476E"/>
    <w:rsid w:val="00AB784F"/>
    <w:rsid w:val="00AC4A72"/>
    <w:rsid w:val="00B102DC"/>
    <w:rsid w:val="00B209FD"/>
    <w:rsid w:val="00B27FA1"/>
    <w:rsid w:val="00B30969"/>
    <w:rsid w:val="00B45C36"/>
    <w:rsid w:val="00B909AC"/>
    <w:rsid w:val="00BC43D6"/>
    <w:rsid w:val="00BF5851"/>
    <w:rsid w:val="00BF6E14"/>
    <w:rsid w:val="00C06C9F"/>
    <w:rsid w:val="00C153C8"/>
    <w:rsid w:val="00C36146"/>
    <w:rsid w:val="00C40CAF"/>
    <w:rsid w:val="00C63B6B"/>
    <w:rsid w:val="00C95438"/>
    <w:rsid w:val="00CB5467"/>
    <w:rsid w:val="00CC2E67"/>
    <w:rsid w:val="00CC7C28"/>
    <w:rsid w:val="00CF71DE"/>
    <w:rsid w:val="00D24B0E"/>
    <w:rsid w:val="00D34C4E"/>
    <w:rsid w:val="00D44159"/>
    <w:rsid w:val="00D44C5A"/>
    <w:rsid w:val="00D46FEB"/>
    <w:rsid w:val="00D80970"/>
    <w:rsid w:val="00DA7960"/>
    <w:rsid w:val="00DB4F67"/>
    <w:rsid w:val="00DD4C19"/>
    <w:rsid w:val="00DF035B"/>
    <w:rsid w:val="00DF2214"/>
    <w:rsid w:val="00E53BD2"/>
    <w:rsid w:val="00E70412"/>
    <w:rsid w:val="00E73A26"/>
    <w:rsid w:val="00E73F1E"/>
    <w:rsid w:val="00EA3A97"/>
    <w:rsid w:val="00EB4597"/>
    <w:rsid w:val="00EB51E5"/>
    <w:rsid w:val="00EE029D"/>
    <w:rsid w:val="00EE505F"/>
    <w:rsid w:val="00F5798F"/>
    <w:rsid w:val="00F74222"/>
    <w:rsid w:val="00F81CD9"/>
    <w:rsid w:val="00F82751"/>
    <w:rsid w:val="00FD6C04"/>
    <w:rsid w:val="00FE0F07"/>
    <w:rsid w:val="019D738A"/>
    <w:rsid w:val="03652CA2"/>
    <w:rsid w:val="03F46082"/>
    <w:rsid w:val="05CC560F"/>
    <w:rsid w:val="05F13518"/>
    <w:rsid w:val="06031090"/>
    <w:rsid w:val="06BA307F"/>
    <w:rsid w:val="073ED341"/>
    <w:rsid w:val="07425922"/>
    <w:rsid w:val="07F64229"/>
    <w:rsid w:val="07FF5FB5"/>
    <w:rsid w:val="09714B06"/>
    <w:rsid w:val="09B02C51"/>
    <w:rsid w:val="09E71B0D"/>
    <w:rsid w:val="0A526D36"/>
    <w:rsid w:val="0A9612E9"/>
    <w:rsid w:val="0B27418B"/>
    <w:rsid w:val="0BA17968"/>
    <w:rsid w:val="0BCF2F28"/>
    <w:rsid w:val="0C0B25F5"/>
    <w:rsid w:val="0C37154E"/>
    <w:rsid w:val="0C786F56"/>
    <w:rsid w:val="0C8D3125"/>
    <w:rsid w:val="0D6450F7"/>
    <w:rsid w:val="0DB93080"/>
    <w:rsid w:val="0DF2282E"/>
    <w:rsid w:val="0E1FFEE1"/>
    <w:rsid w:val="0F217731"/>
    <w:rsid w:val="0FB7367B"/>
    <w:rsid w:val="10DF94C6"/>
    <w:rsid w:val="12F7E6DF"/>
    <w:rsid w:val="134306AA"/>
    <w:rsid w:val="138E4DA7"/>
    <w:rsid w:val="158017F2"/>
    <w:rsid w:val="15BF06B3"/>
    <w:rsid w:val="15C720C7"/>
    <w:rsid w:val="173E2294"/>
    <w:rsid w:val="174A36DB"/>
    <w:rsid w:val="175B1444"/>
    <w:rsid w:val="185D333C"/>
    <w:rsid w:val="18DF80EF"/>
    <w:rsid w:val="1A3B4186"/>
    <w:rsid w:val="1AFB6C4B"/>
    <w:rsid w:val="1CC727DB"/>
    <w:rsid w:val="1D9712E6"/>
    <w:rsid w:val="1DDF9D24"/>
    <w:rsid w:val="1E6710EF"/>
    <w:rsid w:val="1EBD8ED3"/>
    <w:rsid w:val="1F6335A8"/>
    <w:rsid w:val="1FBFDBB4"/>
    <w:rsid w:val="1FDFC7F8"/>
    <w:rsid w:val="1FF7A614"/>
    <w:rsid w:val="200E6725"/>
    <w:rsid w:val="21772473"/>
    <w:rsid w:val="21DA38AD"/>
    <w:rsid w:val="2282136E"/>
    <w:rsid w:val="235E0317"/>
    <w:rsid w:val="25CE0C14"/>
    <w:rsid w:val="26352445"/>
    <w:rsid w:val="27E95106"/>
    <w:rsid w:val="280C3C41"/>
    <w:rsid w:val="283944F4"/>
    <w:rsid w:val="2955587E"/>
    <w:rsid w:val="2AB27175"/>
    <w:rsid w:val="2C6C4A11"/>
    <w:rsid w:val="2C7F2303"/>
    <w:rsid w:val="2C98683F"/>
    <w:rsid w:val="2D515BBB"/>
    <w:rsid w:val="2D862BD2"/>
    <w:rsid w:val="2DBFF911"/>
    <w:rsid w:val="2DCF84E5"/>
    <w:rsid w:val="2E3691E6"/>
    <w:rsid w:val="2EFF9C30"/>
    <w:rsid w:val="2F7F77CD"/>
    <w:rsid w:val="2FD721B5"/>
    <w:rsid w:val="2FEBFA1B"/>
    <w:rsid w:val="2FFB0FF6"/>
    <w:rsid w:val="30D82AB0"/>
    <w:rsid w:val="31124059"/>
    <w:rsid w:val="31BB2DB3"/>
    <w:rsid w:val="31E12EF6"/>
    <w:rsid w:val="32200EE8"/>
    <w:rsid w:val="328F94FE"/>
    <w:rsid w:val="32A71745"/>
    <w:rsid w:val="33FCD145"/>
    <w:rsid w:val="34337579"/>
    <w:rsid w:val="345507E9"/>
    <w:rsid w:val="34F7485D"/>
    <w:rsid w:val="35560DBD"/>
    <w:rsid w:val="357717CA"/>
    <w:rsid w:val="358B7B22"/>
    <w:rsid w:val="3595159F"/>
    <w:rsid w:val="35B6712B"/>
    <w:rsid w:val="36A6601F"/>
    <w:rsid w:val="36FFDE8C"/>
    <w:rsid w:val="3734C800"/>
    <w:rsid w:val="373E412C"/>
    <w:rsid w:val="373EF023"/>
    <w:rsid w:val="375FFC08"/>
    <w:rsid w:val="37B20DCD"/>
    <w:rsid w:val="37BD62B4"/>
    <w:rsid w:val="37F50F30"/>
    <w:rsid w:val="38C45377"/>
    <w:rsid w:val="397BB17F"/>
    <w:rsid w:val="39BFDAA6"/>
    <w:rsid w:val="39EBEADA"/>
    <w:rsid w:val="39FF2823"/>
    <w:rsid w:val="3AAF2FCF"/>
    <w:rsid w:val="3ADED382"/>
    <w:rsid w:val="3B1EF628"/>
    <w:rsid w:val="3BA1B2A2"/>
    <w:rsid w:val="3BE9698E"/>
    <w:rsid w:val="3BFF8064"/>
    <w:rsid w:val="3C37572C"/>
    <w:rsid w:val="3CDB5CF9"/>
    <w:rsid w:val="3CE74F8B"/>
    <w:rsid w:val="3CF2DB4C"/>
    <w:rsid w:val="3CF85079"/>
    <w:rsid w:val="3CFCABF7"/>
    <w:rsid w:val="3D67AA8A"/>
    <w:rsid w:val="3DF98B45"/>
    <w:rsid w:val="3DFD5E7B"/>
    <w:rsid w:val="3DFF711A"/>
    <w:rsid w:val="3E374C21"/>
    <w:rsid w:val="3E6C7F49"/>
    <w:rsid w:val="3EE786EA"/>
    <w:rsid w:val="3EF7FBA3"/>
    <w:rsid w:val="3F1730CC"/>
    <w:rsid w:val="3F3E2B32"/>
    <w:rsid w:val="3F78C803"/>
    <w:rsid w:val="3F7D5B33"/>
    <w:rsid w:val="3F7FB9A7"/>
    <w:rsid w:val="3FA5DB14"/>
    <w:rsid w:val="3FAA024F"/>
    <w:rsid w:val="3FAE1CAB"/>
    <w:rsid w:val="3FBBCF53"/>
    <w:rsid w:val="3FBE13EB"/>
    <w:rsid w:val="3FBF764A"/>
    <w:rsid w:val="3FDE6EDE"/>
    <w:rsid w:val="3FEB3C43"/>
    <w:rsid w:val="3FFB2BCA"/>
    <w:rsid w:val="3FFF626E"/>
    <w:rsid w:val="3FFF928E"/>
    <w:rsid w:val="40693C3C"/>
    <w:rsid w:val="41A13028"/>
    <w:rsid w:val="41D8277C"/>
    <w:rsid w:val="42646CA6"/>
    <w:rsid w:val="42AB2039"/>
    <w:rsid w:val="436F1C50"/>
    <w:rsid w:val="437307EF"/>
    <w:rsid w:val="441F7F53"/>
    <w:rsid w:val="452D50AB"/>
    <w:rsid w:val="45DF6BAF"/>
    <w:rsid w:val="45EFE152"/>
    <w:rsid w:val="467F2D6B"/>
    <w:rsid w:val="47D718CA"/>
    <w:rsid w:val="4800181F"/>
    <w:rsid w:val="48513732"/>
    <w:rsid w:val="48711A69"/>
    <w:rsid w:val="49252811"/>
    <w:rsid w:val="4AFA067B"/>
    <w:rsid w:val="4DCCC887"/>
    <w:rsid w:val="4E315298"/>
    <w:rsid w:val="4E7D1E34"/>
    <w:rsid w:val="4F2F2F44"/>
    <w:rsid w:val="4F6933F7"/>
    <w:rsid w:val="4F6D4FA7"/>
    <w:rsid w:val="4FAF25CB"/>
    <w:rsid w:val="4FCE6986"/>
    <w:rsid w:val="4FDEFEF7"/>
    <w:rsid w:val="4FFB95DB"/>
    <w:rsid w:val="4FFF2A29"/>
    <w:rsid w:val="50044053"/>
    <w:rsid w:val="51031C29"/>
    <w:rsid w:val="51F779E0"/>
    <w:rsid w:val="523E560F"/>
    <w:rsid w:val="5277552F"/>
    <w:rsid w:val="54FDBB12"/>
    <w:rsid w:val="559DA787"/>
    <w:rsid w:val="567D13ED"/>
    <w:rsid w:val="568763D4"/>
    <w:rsid w:val="56B72852"/>
    <w:rsid w:val="56C056E0"/>
    <w:rsid w:val="56E7D2B4"/>
    <w:rsid w:val="57695694"/>
    <w:rsid w:val="57835872"/>
    <w:rsid w:val="57AD5E4A"/>
    <w:rsid w:val="57BF5A6C"/>
    <w:rsid w:val="57EF1A88"/>
    <w:rsid w:val="57FBE7F7"/>
    <w:rsid w:val="5806053C"/>
    <w:rsid w:val="582C7CB7"/>
    <w:rsid w:val="58DB6CD4"/>
    <w:rsid w:val="58FE679E"/>
    <w:rsid w:val="59441031"/>
    <w:rsid w:val="597E5978"/>
    <w:rsid w:val="59D44FB2"/>
    <w:rsid w:val="59DA3AC3"/>
    <w:rsid w:val="59FFF6EC"/>
    <w:rsid w:val="5A77D5D4"/>
    <w:rsid w:val="5ADA33FC"/>
    <w:rsid w:val="5ADF7D9C"/>
    <w:rsid w:val="5B07CEE0"/>
    <w:rsid w:val="5B17E337"/>
    <w:rsid w:val="5B5639C9"/>
    <w:rsid w:val="5B953DC6"/>
    <w:rsid w:val="5D5CB8ED"/>
    <w:rsid w:val="5D6D1820"/>
    <w:rsid w:val="5DDFCF6F"/>
    <w:rsid w:val="5DFB4BB4"/>
    <w:rsid w:val="5DFF46E3"/>
    <w:rsid w:val="5E2A6A67"/>
    <w:rsid w:val="5E8D6317"/>
    <w:rsid w:val="5EDF0353"/>
    <w:rsid w:val="5EF76A76"/>
    <w:rsid w:val="5EFF3EB2"/>
    <w:rsid w:val="5EFFE34F"/>
    <w:rsid w:val="5EFFE572"/>
    <w:rsid w:val="5F3303A7"/>
    <w:rsid w:val="5F8B5850"/>
    <w:rsid w:val="5FA77553"/>
    <w:rsid w:val="5FBBE7FD"/>
    <w:rsid w:val="5FDD3402"/>
    <w:rsid w:val="5FDD7AE8"/>
    <w:rsid w:val="5FDDAD50"/>
    <w:rsid w:val="5FEB9566"/>
    <w:rsid w:val="5FEF2D25"/>
    <w:rsid w:val="5FEF3A1E"/>
    <w:rsid w:val="5FF47DEA"/>
    <w:rsid w:val="5FF66BD7"/>
    <w:rsid w:val="5FFAAC2C"/>
    <w:rsid w:val="60654232"/>
    <w:rsid w:val="60B865C5"/>
    <w:rsid w:val="620B7DE6"/>
    <w:rsid w:val="622A34BA"/>
    <w:rsid w:val="635A680F"/>
    <w:rsid w:val="636DBB2A"/>
    <w:rsid w:val="63DF6A68"/>
    <w:rsid w:val="64DB2183"/>
    <w:rsid w:val="651D1CF3"/>
    <w:rsid w:val="65667F12"/>
    <w:rsid w:val="65DFBF97"/>
    <w:rsid w:val="65FA0B6E"/>
    <w:rsid w:val="6622379F"/>
    <w:rsid w:val="6690233C"/>
    <w:rsid w:val="66AC460E"/>
    <w:rsid w:val="67755B92"/>
    <w:rsid w:val="677DFE0A"/>
    <w:rsid w:val="677FB687"/>
    <w:rsid w:val="67860E67"/>
    <w:rsid w:val="67CCC4C1"/>
    <w:rsid w:val="67FFB506"/>
    <w:rsid w:val="684A3F7D"/>
    <w:rsid w:val="687EEE29"/>
    <w:rsid w:val="690E2FA5"/>
    <w:rsid w:val="698536CB"/>
    <w:rsid w:val="69B524B7"/>
    <w:rsid w:val="69C66DED"/>
    <w:rsid w:val="6ABACAAE"/>
    <w:rsid w:val="6ACF1963"/>
    <w:rsid w:val="6AEEA666"/>
    <w:rsid w:val="6AF87FEF"/>
    <w:rsid w:val="6B7FC2F1"/>
    <w:rsid w:val="6BEA5A6E"/>
    <w:rsid w:val="6BF7EDF6"/>
    <w:rsid w:val="6CE78475"/>
    <w:rsid w:val="6D0F78B2"/>
    <w:rsid w:val="6D3B91C2"/>
    <w:rsid w:val="6D3EB8B4"/>
    <w:rsid w:val="6D7F36B1"/>
    <w:rsid w:val="6D8A0CD1"/>
    <w:rsid w:val="6DAEA290"/>
    <w:rsid w:val="6DFE1D0C"/>
    <w:rsid w:val="6DFF42E8"/>
    <w:rsid w:val="6E2E4332"/>
    <w:rsid w:val="6E2FD924"/>
    <w:rsid w:val="6E997680"/>
    <w:rsid w:val="6EEEE779"/>
    <w:rsid w:val="6F252AE8"/>
    <w:rsid w:val="6F27D11B"/>
    <w:rsid w:val="6F59125A"/>
    <w:rsid w:val="6FA56BA4"/>
    <w:rsid w:val="6FCA8A11"/>
    <w:rsid w:val="6FE5FECA"/>
    <w:rsid w:val="6FEF1396"/>
    <w:rsid w:val="6FEFE7A0"/>
    <w:rsid w:val="6FFB9CA1"/>
    <w:rsid w:val="6FFD854F"/>
    <w:rsid w:val="6FFF53B8"/>
    <w:rsid w:val="70521B06"/>
    <w:rsid w:val="70D265A9"/>
    <w:rsid w:val="715E6F0F"/>
    <w:rsid w:val="71BF11B5"/>
    <w:rsid w:val="71FEFADE"/>
    <w:rsid w:val="7214383E"/>
    <w:rsid w:val="72B10ABA"/>
    <w:rsid w:val="72BEB493"/>
    <w:rsid w:val="72BF7DD0"/>
    <w:rsid w:val="72DEB3E8"/>
    <w:rsid w:val="72E35D1D"/>
    <w:rsid w:val="733D289D"/>
    <w:rsid w:val="7387AD9E"/>
    <w:rsid w:val="73D3D122"/>
    <w:rsid w:val="73FF1AAA"/>
    <w:rsid w:val="73FFC48E"/>
    <w:rsid w:val="7463479A"/>
    <w:rsid w:val="749E3893"/>
    <w:rsid w:val="74FF2717"/>
    <w:rsid w:val="756FED81"/>
    <w:rsid w:val="75BF919A"/>
    <w:rsid w:val="75E20214"/>
    <w:rsid w:val="75EF5B12"/>
    <w:rsid w:val="75F5EB8B"/>
    <w:rsid w:val="7668ED78"/>
    <w:rsid w:val="767A8289"/>
    <w:rsid w:val="76C46966"/>
    <w:rsid w:val="77331833"/>
    <w:rsid w:val="7749ECB7"/>
    <w:rsid w:val="775D5A58"/>
    <w:rsid w:val="775FC7DC"/>
    <w:rsid w:val="776EB5F3"/>
    <w:rsid w:val="776FF607"/>
    <w:rsid w:val="77792664"/>
    <w:rsid w:val="77AF9987"/>
    <w:rsid w:val="77B9C1A7"/>
    <w:rsid w:val="77CFFAED"/>
    <w:rsid w:val="77D7EF2A"/>
    <w:rsid w:val="77EFDEDF"/>
    <w:rsid w:val="77F131F2"/>
    <w:rsid w:val="77F67C01"/>
    <w:rsid w:val="77FBAB69"/>
    <w:rsid w:val="77FDC278"/>
    <w:rsid w:val="77FE328B"/>
    <w:rsid w:val="77FF1A14"/>
    <w:rsid w:val="77FFDAEE"/>
    <w:rsid w:val="77FFEB9A"/>
    <w:rsid w:val="781E75AF"/>
    <w:rsid w:val="785F99C6"/>
    <w:rsid w:val="78821337"/>
    <w:rsid w:val="789470BD"/>
    <w:rsid w:val="78BB7D02"/>
    <w:rsid w:val="78FF52D2"/>
    <w:rsid w:val="793F3A70"/>
    <w:rsid w:val="799B2933"/>
    <w:rsid w:val="79DF98E5"/>
    <w:rsid w:val="79FA4E77"/>
    <w:rsid w:val="79FE64B8"/>
    <w:rsid w:val="7A7B07F1"/>
    <w:rsid w:val="7A7FADFF"/>
    <w:rsid w:val="7A8333F9"/>
    <w:rsid w:val="7AB3E868"/>
    <w:rsid w:val="7AB7F3B9"/>
    <w:rsid w:val="7ABFC102"/>
    <w:rsid w:val="7B346230"/>
    <w:rsid w:val="7B38AF33"/>
    <w:rsid w:val="7B7734E3"/>
    <w:rsid w:val="7B9A6349"/>
    <w:rsid w:val="7BB97BB5"/>
    <w:rsid w:val="7BBB07CD"/>
    <w:rsid w:val="7BCF961E"/>
    <w:rsid w:val="7BD9F9CE"/>
    <w:rsid w:val="7BDE9000"/>
    <w:rsid w:val="7BE5D8A2"/>
    <w:rsid w:val="7BF7A175"/>
    <w:rsid w:val="7BFEB6B2"/>
    <w:rsid w:val="7BFF3898"/>
    <w:rsid w:val="7C6B04AB"/>
    <w:rsid w:val="7CDA15E7"/>
    <w:rsid w:val="7CDC6DA2"/>
    <w:rsid w:val="7CE651E5"/>
    <w:rsid w:val="7CEB2266"/>
    <w:rsid w:val="7CFFDCF3"/>
    <w:rsid w:val="7D0D6C37"/>
    <w:rsid w:val="7D476609"/>
    <w:rsid w:val="7D5F373A"/>
    <w:rsid w:val="7D9AF1EF"/>
    <w:rsid w:val="7DAFF185"/>
    <w:rsid w:val="7DD38626"/>
    <w:rsid w:val="7DEC3B7A"/>
    <w:rsid w:val="7DEF309C"/>
    <w:rsid w:val="7DEFA7BB"/>
    <w:rsid w:val="7DFB3D47"/>
    <w:rsid w:val="7DFED32A"/>
    <w:rsid w:val="7DFF845C"/>
    <w:rsid w:val="7E0F44CF"/>
    <w:rsid w:val="7E696878"/>
    <w:rsid w:val="7E742CD8"/>
    <w:rsid w:val="7E78FE9B"/>
    <w:rsid w:val="7E7BF0F4"/>
    <w:rsid w:val="7E7D9483"/>
    <w:rsid w:val="7E7E47CE"/>
    <w:rsid w:val="7E7F2E05"/>
    <w:rsid w:val="7E7F5B1C"/>
    <w:rsid w:val="7E9DAF38"/>
    <w:rsid w:val="7EAED68C"/>
    <w:rsid w:val="7EB38A2C"/>
    <w:rsid w:val="7EB5FA6B"/>
    <w:rsid w:val="7EBF0591"/>
    <w:rsid w:val="7EBF4301"/>
    <w:rsid w:val="7EBFCEC8"/>
    <w:rsid w:val="7EF72C5E"/>
    <w:rsid w:val="7EFABA5B"/>
    <w:rsid w:val="7EFF0E10"/>
    <w:rsid w:val="7F44462F"/>
    <w:rsid w:val="7F5BF276"/>
    <w:rsid w:val="7F5F5A3F"/>
    <w:rsid w:val="7F777786"/>
    <w:rsid w:val="7F77C7B0"/>
    <w:rsid w:val="7F7B1045"/>
    <w:rsid w:val="7F7DF9CF"/>
    <w:rsid w:val="7F8DC610"/>
    <w:rsid w:val="7F985AAF"/>
    <w:rsid w:val="7FA5ABF5"/>
    <w:rsid w:val="7FB722CE"/>
    <w:rsid w:val="7FBFA38F"/>
    <w:rsid w:val="7FBFA7D1"/>
    <w:rsid w:val="7FC4541B"/>
    <w:rsid w:val="7FC468A4"/>
    <w:rsid w:val="7FCE9C12"/>
    <w:rsid w:val="7FCF4F81"/>
    <w:rsid w:val="7FCFC719"/>
    <w:rsid w:val="7FDB4AA8"/>
    <w:rsid w:val="7FDBDFAE"/>
    <w:rsid w:val="7FDD30CA"/>
    <w:rsid w:val="7FDD99B0"/>
    <w:rsid w:val="7FDDCCD9"/>
    <w:rsid w:val="7FDF81C9"/>
    <w:rsid w:val="7FDFDEBC"/>
    <w:rsid w:val="7FE1F0FF"/>
    <w:rsid w:val="7FE957D3"/>
    <w:rsid w:val="7FEAAB6B"/>
    <w:rsid w:val="7FEBD7AF"/>
    <w:rsid w:val="7FF361C2"/>
    <w:rsid w:val="7FF56A17"/>
    <w:rsid w:val="7FF5C20B"/>
    <w:rsid w:val="7FF611B2"/>
    <w:rsid w:val="7FFA91F5"/>
    <w:rsid w:val="7FFB6E56"/>
    <w:rsid w:val="7FFD70BC"/>
    <w:rsid w:val="7FFD930E"/>
    <w:rsid w:val="7FFE7E8A"/>
    <w:rsid w:val="7FFF48EC"/>
    <w:rsid w:val="7FFF55F2"/>
    <w:rsid w:val="7FFF8DCF"/>
    <w:rsid w:val="7FFFDD4F"/>
    <w:rsid w:val="89DFA20F"/>
    <w:rsid w:val="8CCCB3A9"/>
    <w:rsid w:val="8E3FB093"/>
    <w:rsid w:val="8FF5DEED"/>
    <w:rsid w:val="8FFF99C2"/>
    <w:rsid w:val="93B76CE9"/>
    <w:rsid w:val="97FFA8F2"/>
    <w:rsid w:val="9877C731"/>
    <w:rsid w:val="9B1F8813"/>
    <w:rsid w:val="9BFBF592"/>
    <w:rsid w:val="9DE96E7A"/>
    <w:rsid w:val="9DFBB1FA"/>
    <w:rsid w:val="9DFFCC35"/>
    <w:rsid w:val="9E2F0868"/>
    <w:rsid w:val="9EFA6570"/>
    <w:rsid w:val="9EFFC826"/>
    <w:rsid w:val="9FBF0F19"/>
    <w:rsid w:val="9FEBFDCC"/>
    <w:rsid w:val="9FFF790F"/>
    <w:rsid w:val="A35F118D"/>
    <w:rsid w:val="A5FFD638"/>
    <w:rsid w:val="A76FA404"/>
    <w:rsid w:val="A77670E7"/>
    <w:rsid w:val="A7F7A143"/>
    <w:rsid w:val="A7FF7FFF"/>
    <w:rsid w:val="AAFB9BA9"/>
    <w:rsid w:val="AB4BD2BE"/>
    <w:rsid w:val="ABE1428A"/>
    <w:rsid w:val="ABF846AE"/>
    <w:rsid w:val="ACBBF3A4"/>
    <w:rsid w:val="ACEF0D6A"/>
    <w:rsid w:val="AD1E90A0"/>
    <w:rsid w:val="AD7FBD1E"/>
    <w:rsid w:val="ADFF8A6A"/>
    <w:rsid w:val="ADFF8E3C"/>
    <w:rsid w:val="AE7F8265"/>
    <w:rsid w:val="AE9F792B"/>
    <w:rsid w:val="AF36C990"/>
    <w:rsid w:val="AF5EE9F3"/>
    <w:rsid w:val="AF6C3EE4"/>
    <w:rsid w:val="AFBAA6DD"/>
    <w:rsid w:val="AFFE5D2D"/>
    <w:rsid w:val="AFFF8DED"/>
    <w:rsid w:val="B0F3669D"/>
    <w:rsid w:val="B3AF327B"/>
    <w:rsid w:val="B5BA3A47"/>
    <w:rsid w:val="B6D50C69"/>
    <w:rsid w:val="B73B4A0D"/>
    <w:rsid w:val="B76F2974"/>
    <w:rsid w:val="B77E8818"/>
    <w:rsid w:val="B7AF9D8F"/>
    <w:rsid w:val="B7DFD48E"/>
    <w:rsid w:val="B7F649C1"/>
    <w:rsid w:val="B7FD6B48"/>
    <w:rsid w:val="B7FDAFB0"/>
    <w:rsid w:val="B93A7D34"/>
    <w:rsid w:val="B969EFA7"/>
    <w:rsid w:val="B9F3AAF7"/>
    <w:rsid w:val="BAF922AD"/>
    <w:rsid w:val="BAFC2C24"/>
    <w:rsid w:val="BAFD54F1"/>
    <w:rsid w:val="BB8A8546"/>
    <w:rsid w:val="BBCBF878"/>
    <w:rsid w:val="BCD67507"/>
    <w:rsid w:val="BD9ADD30"/>
    <w:rsid w:val="BE5FB7C7"/>
    <w:rsid w:val="BE9D74DA"/>
    <w:rsid w:val="BEBFCCBD"/>
    <w:rsid w:val="BEEFD9EE"/>
    <w:rsid w:val="BF1EABAC"/>
    <w:rsid w:val="BF3F2F59"/>
    <w:rsid w:val="BF5626BE"/>
    <w:rsid w:val="BF7A6084"/>
    <w:rsid w:val="BF7D749F"/>
    <w:rsid w:val="BF7F08AB"/>
    <w:rsid w:val="BFBE60E6"/>
    <w:rsid w:val="BFBFE165"/>
    <w:rsid w:val="BFDFF43B"/>
    <w:rsid w:val="BFE710F0"/>
    <w:rsid w:val="BFE7E646"/>
    <w:rsid w:val="BFF75575"/>
    <w:rsid w:val="BFFB0EB6"/>
    <w:rsid w:val="BFFCC6AB"/>
    <w:rsid w:val="BFFE3857"/>
    <w:rsid w:val="C6FF18B2"/>
    <w:rsid w:val="C7FC833E"/>
    <w:rsid w:val="C93F21EB"/>
    <w:rsid w:val="CA37C221"/>
    <w:rsid w:val="CAFF5DAF"/>
    <w:rsid w:val="CB27F303"/>
    <w:rsid w:val="CBB6F3C2"/>
    <w:rsid w:val="CBFFF11C"/>
    <w:rsid w:val="CD9F374C"/>
    <w:rsid w:val="CDFF2176"/>
    <w:rsid w:val="CE7F4FB0"/>
    <w:rsid w:val="CEDB539D"/>
    <w:rsid w:val="CF3FFD52"/>
    <w:rsid w:val="CF7F9DE6"/>
    <w:rsid w:val="CFD7F23D"/>
    <w:rsid w:val="CFE707C0"/>
    <w:rsid w:val="D05D4592"/>
    <w:rsid w:val="D2E70CF5"/>
    <w:rsid w:val="D2FE74B5"/>
    <w:rsid w:val="D35F8CFE"/>
    <w:rsid w:val="D5FD332D"/>
    <w:rsid w:val="D76688AE"/>
    <w:rsid w:val="D79DBC01"/>
    <w:rsid w:val="D7BB7E7C"/>
    <w:rsid w:val="D7CFED53"/>
    <w:rsid w:val="D7FB54F4"/>
    <w:rsid w:val="D8F738EC"/>
    <w:rsid w:val="DB1690C0"/>
    <w:rsid w:val="DB3ECCD9"/>
    <w:rsid w:val="DB7FC9E4"/>
    <w:rsid w:val="DBAF207C"/>
    <w:rsid w:val="DBD779ED"/>
    <w:rsid w:val="DBE51BAB"/>
    <w:rsid w:val="DC7F27A0"/>
    <w:rsid w:val="DD3DBC60"/>
    <w:rsid w:val="DDCCAE10"/>
    <w:rsid w:val="DDEDA162"/>
    <w:rsid w:val="DDFECB30"/>
    <w:rsid w:val="DE4DC876"/>
    <w:rsid w:val="DE7F5E35"/>
    <w:rsid w:val="DEF13FE4"/>
    <w:rsid w:val="DEFBE508"/>
    <w:rsid w:val="DEFF04A4"/>
    <w:rsid w:val="DEFFC324"/>
    <w:rsid w:val="DFAC1ACC"/>
    <w:rsid w:val="DFBF283B"/>
    <w:rsid w:val="DFBF4ECA"/>
    <w:rsid w:val="DFEBDA6B"/>
    <w:rsid w:val="DFFBF6E1"/>
    <w:rsid w:val="DFFDE0A0"/>
    <w:rsid w:val="DFFE898C"/>
    <w:rsid w:val="E3D8C084"/>
    <w:rsid w:val="E3DBE531"/>
    <w:rsid w:val="E5ABDBA5"/>
    <w:rsid w:val="E5FF9F58"/>
    <w:rsid w:val="E661FF4D"/>
    <w:rsid w:val="E6FF4679"/>
    <w:rsid w:val="E7CF09DD"/>
    <w:rsid w:val="E7FFD40B"/>
    <w:rsid w:val="E9FB7232"/>
    <w:rsid w:val="EB9B2087"/>
    <w:rsid w:val="EBB28FFE"/>
    <w:rsid w:val="EBFB7745"/>
    <w:rsid w:val="ECAF7C03"/>
    <w:rsid w:val="ECF0C82D"/>
    <w:rsid w:val="ED8D3BF7"/>
    <w:rsid w:val="EDD80133"/>
    <w:rsid w:val="EDEEC7C1"/>
    <w:rsid w:val="EDEFC32D"/>
    <w:rsid w:val="EDF25C64"/>
    <w:rsid w:val="EDFFDA21"/>
    <w:rsid w:val="EDFFFA9B"/>
    <w:rsid w:val="EF559382"/>
    <w:rsid w:val="EF749325"/>
    <w:rsid w:val="EFAF5D4D"/>
    <w:rsid w:val="EFB5B3B9"/>
    <w:rsid w:val="EFD7D998"/>
    <w:rsid w:val="EFEFB6B9"/>
    <w:rsid w:val="EFF9A207"/>
    <w:rsid w:val="F0BF2378"/>
    <w:rsid w:val="F1A5248D"/>
    <w:rsid w:val="F1BD817D"/>
    <w:rsid w:val="F2D78328"/>
    <w:rsid w:val="F2F7E270"/>
    <w:rsid w:val="F37EF20F"/>
    <w:rsid w:val="F37F26CD"/>
    <w:rsid w:val="F3B7AC5D"/>
    <w:rsid w:val="F3CFA45F"/>
    <w:rsid w:val="F3E62669"/>
    <w:rsid w:val="F3E6775A"/>
    <w:rsid w:val="F3FF59D6"/>
    <w:rsid w:val="F3FF6A94"/>
    <w:rsid w:val="F41FDBA7"/>
    <w:rsid w:val="F549CA5C"/>
    <w:rsid w:val="F5757059"/>
    <w:rsid w:val="F5AF104D"/>
    <w:rsid w:val="F5B5DC28"/>
    <w:rsid w:val="F5F52928"/>
    <w:rsid w:val="F5FDF82C"/>
    <w:rsid w:val="F64FCC1D"/>
    <w:rsid w:val="F6545EE3"/>
    <w:rsid w:val="F67D2561"/>
    <w:rsid w:val="F6FE48E0"/>
    <w:rsid w:val="F6FF1AA0"/>
    <w:rsid w:val="F6FFABBD"/>
    <w:rsid w:val="F70F8C4F"/>
    <w:rsid w:val="F71B2477"/>
    <w:rsid w:val="F759F96C"/>
    <w:rsid w:val="F76BE60B"/>
    <w:rsid w:val="F77765C1"/>
    <w:rsid w:val="F77F0567"/>
    <w:rsid w:val="F77F5FC2"/>
    <w:rsid w:val="F77F843E"/>
    <w:rsid w:val="F7A5CE86"/>
    <w:rsid w:val="F7DDB3BA"/>
    <w:rsid w:val="F7DEDCA3"/>
    <w:rsid w:val="F7DFEA54"/>
    <w:rsid w:val="F7EEDA91"/>
    <w:rsid w:val="F7F41E05"/>
    <w:rsid w:val="F7F70ACD"/>
    <w:rsid w:val="F7F7A00C"/>
    <w:rsid w:val="F7FB74E5"/>
    <w:rsid w:val="F7FE6ADD"/>
    <w:rsid w:val="F7FF8CC0"/>
    <w:rsid w:val="F7FFB621"/>
    <w:rsid w:val="F87C19D3"/>
    <w:rsid w:val="F8FE320E"/>
    <w:rsid w:val="F93FFBCE"/>
    <w:rsid w:val="F96E761E"/>
    <w:rsid w:val="F97B390B"/>
    <w:rsid w:val="F9BF7493"/>
    <w:rsid w:val="F9C39948"/>
    <w:rsid w:val="F9CFCB26"/>
    <w:rsid w:val="F9DE010F"/>
    <w:rsid w:val="F9ECBCD7"/>
    <w:rsid w:val="F9FB8BDD"/>
    <w:rsid w:val="FABF3668"/>
    <w:rsid w:val="FAED0B69"/>
    <w:rsid w:val="FAFA80C6"/>
    <w:rsid w:val="FB3F866A"/>
    <w:rsid w:val="FB572889"/>
    <w:rsid w:val="FB5CF933"/>
    <w:rsid w:val="FB7A5A8B"/>
    <w:rsid w:val="FB85C6C8"/>
    <w:rsid w:val="FB873431"/>
    <w:rsid w:val="FBBF0457"/>
    <w:rsid w:val="FBDE3210"/>
    <w:rsid w:val="FBE55D14"/>
    <w:rsid w:val="FBEBFC99"/>
    <w:rsid w:val="FBEDEAAC"/>
    <w:rsid w:val="FBEE293C"/>
    <w:rsid w:val="FBF284B1"/>
    <w:rsid w:val="FBF41C78"/>
    <w:rsid w:val="FBFC82F9"/>
    <w:rsid w:val="FBFE4562"/>
    <w:rsid w:val="FBFFC26C"/>
    <w:rsid w:val="FC9FEBCD"/>
    <w:rsid w:val="FCBAE46C"/>
    <w:rsid w:val="FCBF8D62"/>
    <w:rsid w:val="FCD53DD2"/>
    <w:rsid w:val="FCF9AA38"/>
    <w:rsid w:val="FCFA35D8"/>
    <w:rsid w:val="FD4BE3FA"/>
    <w:rsid w:val="FD6DAB92"/>
    <w:rsid w:val="FD6EBAB8"/>
    <w:rsid w:val="FD7F1F8D"/>
    <w:rsid w:val="FDD691C3"/>
    <w:rsid w:val="FDD77CC8"/>
    <w:rsid w:val="FDDDD024"/>
    <w:rsid w:val="FDE9467C"/>
    <w:rsid w:val="FDFC1B79"/>
    <w:rsid w:val="FDFD883D"/>
    <w:rsid w:val="FE11BD73"/>
    <w:rsid w:val="FE5E2595"/>
    <w:rsid w:val="FE6B5040"/>
    <w:rsid w:val="FEAE7B7B"/>
    <w:rsid w:val="FEB9394C"/>
    <w:rsid w:val="FEBDC5A6"/>
    <w:rsid w:val="FEBF0885"/>
    <w:rsid w:val="FEBF24B6"/>
    <w:rsid w:val="FEBF41DF"/>
    <w:rsid w:val="FECF2AB9"/>
    <w:rsid w:val="FED68D5C"/>
    <w:rsid w:val="FEDFCC6F"/>
    <w:rsid w:val="FEE3FE38"/>
    <w:rsid w:val="FEE92396"/>
    <w:rsid w:val="FEF22871"/>
    <w:rsid w:val="FEF6EEB6"/>
    <w:rsid w:val="FEFE372D"/>
    <w:rsid w:val="FF2F1450"/>
    <w:rsid w:val="FF372251"/>
    <w:rsid w:val="FF4E7CCF"/>
    <w:rsid w:val="FF6F1DE2"/>
    <w:rsid w:val="FF729775"/>
    <w:rsid w:val="FF9B840E"/>
    <w:rsid w:val="FFB6C47D"/>
    <w:rsid w:val="FFBCF6C3"/>
    <w:rsid w:val="FFBD4E13"/>
    <w:rsid w:val="FFCDF3DD"/>
    <w:rsid w:val="FFD6B40B"/>
    <w:rsid w:val="FFD70372"/>
    <w:rsid w:val="FFDB9815"/>
    <w:rsid w:val="FFDDD5B5"/>
    <w:rsid w:val="FFDE261A"/>
    <w:rsid w:val="FFDF0549"/>
    <w:rsid w:val="FFDF10A5"/>
    <w:rsid w:val="FFDF8C4B"/>
    <w:rsid w:val="FFE2E546"/>
    <w:rsid w:val="FFE3870B"/>
    <w:rsid w:val="FFE859DF"/>
    <w:rsid w:val="FFEB96C6"/>
    <w:rsid w:val="FFED6E27"/>
    <w:rsid w:val="FFEE2DFE"/>
    <w:rsid w:val="FFEF6A7C"/>
    <w:rsid w:val="FFEF7667"/>
    <w:rsid w:val="FFEFD17D"/>
    <w:rsid w:val="FFF53F46"/>
    <w:rsid w:val="FFF7D46F"/>
    <w:rsid w:val="FFF9270A"/>
    <w:rsid w:val="FFFB944A"/>
    <w:rsid w:val="FFFD1A1E"/>
    <w:rsid w:val="FFFD1E30"/>
    <w:rsid w:val="FFFDF8F8"/>
    <w:rsid w:val="FFFE4914"/>
    <w:rsid w:val="FFFE5C2E"/>
    <w:rsid w:val="FFFF08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qFormat="1" w:uiPriority="99" w:semiHidden="0" w:name="Message Header"/>
    <w:lsdException w:qFormat="1" w:unhideWhenUsed="0" w:uiPriority="99" w:semiHidden="0" w:name="Subtitle"/>
    <w:lsdException w:uiPriority="99"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宋体" w:hAnsi="宋体" w:eastAsia="宋体" w:cs="Times New Roman"/>
      <w:kern w:val="2"/>
      <w:sz w:val="24"/>
      <w:szCs w:val="24"/>
      <w:lang w:val="en-US" w:eastAsia="zh-CN" w:bidi="ar-SA"/>
    </w:rPr>
  </w:style>
  <w:style w:type="paragraph" w:styleId="3">
    <w:name w:val="heading 1"/>
    <w:basedOn w:val="1"/>
    <w:next w:val="1"/>
    <w:link w:val="75"/>
    <w:qFormat/>
    <w:uiPriority w:val="0"/>
    <w:pPr>
      <w:keepNext/>
      <w:snapToGrid w:val="0"/>
      <w:spacing w:line="360" w:lineRule="auto"/>
      <w:jc w:val="center"/>
      <w:outlineLvl w:val="0"/>
    </w:pPr>
    <w:rPr>
      <w:rFonts w:ascii="宋体"/>
      <w:b/>
      <w:sz w:val="32"/>
    </w:rPr>
  </w:style>
  <w:style w:type="paragraph" w:styleId="4">
    <w:name w:val="heading 2"/>
    <w:basedOn w:val="1"/>
    <w:next w:val="1"/>
    <w:link w:val="76"/>
    <w:qFormat/>
    <w:uiPriority w:val="0"/>
    <w:pPr>
      <w:keepNext/>
      <w:keepLines/>
      <w:spacing w:line="360" w:lineRule="auto"/>
      <w:jc w:val="center"/>
      <w:outlineLvl w:val="1"/>
    </w:pPr>
    <w:rPr>
      <w:rFonts w:cs="宋体"/>
      <w:b/>
      <w:bCs/>
      <w:sz w:val="28"/>
    </w:rPr>
  </w:style>
  <w:style w:type="paragraph" w:styleId="5">
    <w:name w:val="heading 3"/>
    <w:basedOn w:val="1"/>
    <w:next w:val="1"/>
    <w:link w:val="77"/>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78"/>
    <w:unhideWhenUsed/>
    <w:qFormat/>
    <w:uiPriority w:val="0"/>
    <w:pPr>
      <w:keepNext/>
      <w:keepLines/>
      <w:spacing w:before="280" w:after="290" w:line="376" w:lineRule="auto"/>
      <w:outlineLvl w:val="3"/>
    </w:pPr>
    <w:rPr>
      <w:rFonts w:ascii="Cambria" w:hAnsi="Cambria" w:cs="Times New Roman"/>
      <w:b/>
      <w:bCs/>
      <w:sz w:val="28"/>
      <w:szCs w:val="28"/>
    </w:rPr>
  </w:style>
  <w:style w:type="paragraph" w:styleId="7">
    <w:name w:val="heading 5"/>
    <w:basedOn w:val="1"/>
    <w:next w:val="1"/>
    <w:link w:val="79"/>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80"/>
    <w:qFormat/>
    <w:uiPriority w:val="0"/>
    <w:pPr>
      <w:keepNext/>
      <w:keepLines/>
      <w:tabs>
        <w:tab w:val="left" w:pos="1152"/>
      </w:tabs>
      <w:adjustRightInd w:val="0"/>
      <w:snapToGrid w:val="0"/>
      <w:spacing w:before="240" w:after="64" w:line="317" w:lineRule="auto"/>
      <w:ind w:left="1152" w:hanging="1152"/>
      <w:jc w:val="both"/>
      <w:outlineLvl w:val="5"/>
    </w:pPr>
    <w:rPr>
      <w:rFonts w:ascii="Arial" w:hAnsi="Arial" w:eastAsia="黑体"/>
      <w:b/>
      <w:szCs w:val="20"/>
    </w:rPr>
  </w:style>
  <w:style w:type="paragraph" w:styleId="9">
    <w:name w:val="heading 7"/>
    <w:basedOn w:val="1"/>
    <w:next w:val="1"/>
    <w:link w:val="81"/>
    <w:qFormat/>
    <w:uiPriority w:val="0"/>
    <w:pPr>
      <w:keepNext/>
      <w:keepLines/>
      <w:tabs>
        <w:tab w:val="left" w:pos="1296"/>
      </w:tabs>
      <w:adjustRightInd w:val="0"/>
      <w:snapToGrid w:val="0"/>
      <w:spacing w:before="240" w:after="64" w:line="317" w:lineRule="auto"/>
      <w:ind w:left="1296" w:hanging="1296"/>
      <w:jc w:val="both"/>
      <w:outlineLvl w:val="6"/>
    </w:pPr>
    <w:rPr>
      <w:rFonts w:ascii="Arial" w:hAnsi="Arial" w:eastAsia="黑体"/>
      <w:b/>
      <w:szCs w:val="20"/>
    </w:rPr>
  </w:style>
  <w:style w:type="paragraph" w:styleId="10">
    <w:name w:val="heading 8"/>
    <w:basedOn w:val="1"/>
    <w:next w:val="1"/>
    <w:link w:val="82"/>
    <w:qFormat/>
    <w:uiPriority w:val="0"/>
    <w:pPr>
      <w:keepNext/>
      <w:keepLines/>
      <w:tabs>
        <w:tab w:val="left" w:pos="1440"/>
      </w:tabs>
      <w:adjustRightInd w:val="0"/>
      <w:snapToGrid w:val="0"/>
      <w:spacing w:before="240" w:after="64" w:line="317" w:lineRule="auto"/>
      <w:ind w:left="1440" w:hanging="1440"/>
      <w:jc w:val="both"/>
      <w:outlineLvl w:val="7"/>
    </w:pPr>
    <w:rPr>
      <w:rFonts w:ascii="Arial" w:hAnsi="Arial" w:eastAsia="黑体"/>
      <w:b/>
      <w:szCs w:val="20"/>
    </w:rPr>
  </w:style>
  <w:style w:type="paragraph" w:styleId="11">
    <w:name w:val="heading 9"/>
    <w:basedOn w:val="1"/>
    <w:next w:val="1"/>
    <w:link w:val="83"/>
    <w:qFormat/>
    <w:uiPriority w:val="0"/>
    <w:pPr>
      <w:keepNext/>
      <w:keepLines/>
      <w:tabs>
        <w:tab w:val="left" w:pos="1584"/>
      </w:tabs>
      <w:adjustRightInd w:val="0"/>
      <w:snapToGrid w:val="0"/>
      <w:spacing w:before="240" w:after="64" w:line="317" w:lineRule="auto"/>
      <w:ind w:left="1584" w:hanging="1584"/>
      <w:jc w:val="both"/>
      <w:outlineLvl w:val="8"/>
    </w:pPr>
    <w:rPr>
      <w:rFonts w:ascii="Arial" w:hAnsi="Arial" w:eastAsia="黑体"/>
      <w:b/>
      <w:szCs w:val="20"/>
    </w:rPr>
  </w:style>
  <w:style w:type="character" w:default="1" w:styleId="65">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74"/>
    <w:unhideWhenUsed/>
    <w:qFormat/>
    <w:uiPriority w:val="0"/>
    <w:pPr>
      <w:spacing w:after="120"/>
    </w:pPr>
  </w:style>
  <w:style w:type="paragraph" w:styleId="12">
    <w:name w:val="List 3"/>
    <w:basedOn w:val="1"/>
    <w:qFormat/>
    <w:uiPriority w:val="0"/>
    <w:pPr>
      <w:adjustRightInd w:val="0"/>
      <w:snapToGrid w:val="0"/>
      <w:spacing w:line="360" w:lineRule="auto"/>
      <w:ind w:left="100" w:leftChars="400" w:hanging="200" w:hangingChars="200"/>
      <w:jc w:val="both"/>
    </w:pPr>
    <w:rPr>
      <w:rFonts w:ascii="Calibri" w:hAnsi="Calibri" w:eastAsia="宋体"/>
      <w:szCs w:val="20"/>
    </w:rPr>
  </w:style>
  <w:style w:type="paragraph" w:styleId="13">
    <w:name w:val="toc 7"/>
    <w:basedOn w:val="1"/>
    <w:next w:val="1"/>
    <w:qFormat/>
    <w:uiPriority w:val="0"/>
    <w:pPr>
      <w:ind w:left="2520" w:leftChars="1200"/>
      <w:jc w:val="both"/>
    </w:pPr>
    <w:rPr>
      <w:rFonts w:ascii="Calibri" w:hAnsi="Calibri" w:eastAsia="宋体"/>
      <w:sz w:val="28"/>
      <w:szCs w:val="20"/>
    </w:rPr>
  </w:style>
  <w:style w:type="paragraph" w:styleId="14">
    <w:name w:val="List Number 2"/>
    <w:basedOn w:val="1"/>
    <w:qFormat/>
    <w:uiPriority w:val="0"/>
    <w:pPr>
      <w:numPr>
        <w:ilvl w:val="0"/>
        <w:numId w:val="1"/>
      </w:numPr>
      <w:tabs>
        <w:tab w:val="left" w:pos="780"/>
        <w:tab w:val="clear" w:pos="425"/>
      </w:tabs>
      <w:spacing w:line="360" w:lineRule="auto"/>
      <w:jc w:val="both"/>
    </w:pPr>
    <w:rPr>
      <w:rFonts w:ascii="Calibri" w:hAnsi="Calibri" w:eastAsia="宋体"/>
      <w:szCs w:val="20"/>
    </w:rPr>
  </w:style>
  <w:style w:type="paragraph" w:styleId="15">
    <w:name w:val="table of authorities"/>
    <w:basedOn w:val="1"/>
    <w:next w:val="1"/>
    <w:qFormat/>
    <w:uiPriority w:val="0"/>
    <w:pPr>
      <w:ind w:left="420" w:leftChars="200"/>
    </w:pPr>
  </w:style>
  <w:style w:type="paragraph" w:styleId="16">
    <w:name w:val="List Bullet 4"/>
    <w:basedOn w:val="1"/>
    <w:qFormat/>
    <w:uiPriority w:val="0"/>
    <w:pPr>
      <w:widowControl/>
      <w:tabs>
        <w:tab w:val="left" w:pos="1134"/>
      </w:tabs>
      <w:adjustRightInd w:val="0"/>
      <w:snapToGrid w:val="0"/>
      <w:spacing w:before="120" w:line="280" w:lineRule="atLeast"/>
      <w:ind w:left="1418" w:hanging="284"/>
    </w:pPr>
    <w:rPr>
      <w:rFonts w:ascii="宋体" w:hAnsi="Calibri" w:eastAsia="宋体"/>
      <w:kern w:val="0"/>
      <w:sz w:val="22"/>
      <w:szCs w:val="20"/>
    </w:rPr>
  </w:style>
  <w:style w:type="paragraph" w:styleId="17">
    <w:name w:val="Normal Indent"/>
    <w:basedOn w:val="1"/>
    <w:next w:val="1"/>
    <w:qFormat/>
    <w:uiPriority w:val="0"/>
    <w:pPr>
      <w:adjustRightInd w:val="0"/>
      <w:snapToGrid w:val="0"/>
      <w:spacing w:line="360" w:lineRule="auto"/>
      <w:ind w:firstLine="420"/>
    </w:pPr>
  </w:style>
  <w:style w:type="paragraph" w:styleId="18">
    <w:name w:val="caption"/>
    <w:basedOn w:val="1"/>
    <w:next w:val="1"/>
    <w:qFormat/>
    <w:uiPriority w:val="0"/>
    <w:pPr>
      <w:widowControl/>
      <w:tabs>
        <w:tab w:val="left" w:pos="1134"/>
      </w:tabs>
      <w:adjustRightInd w:val="0"/>
      <w:snapToGrid w:val="0"/>
      <w:spacing w:line="280" w:lineRule="atLeast"/>
    </w:pPr>
    <w:rPr>
      <w:rFonts w:ascii="Calibri" w:hAnsi="Calibri" w:eastAsia="PMingLiU"/>
      <w:b/>
      <w:kern w:val="0"/>
      <w:szCs w:val="20"/>
      <w:lang w:eastAsia="zh-TW"/>
    </w:rPr>
  </w:style>
  <w:style w:type="paragraph" w:styleId="19">
    <w:name w:val="Document Map"/>
    <w:basedOn w:val="1"/>
    <w:link w:val="84"/>
    <w:qFormat/>
    <w:uiPriority w:val="0"/>
    <w:pPr>
      <w:shd w:val="clear" w:color="auto" w:fill="000080"/>
      <w:jc w:val="both"/>
    </w:pPr>
    <w:rPr>
      <w:rFonts w:ascii="Calibri" w:hAnsi="Calibri" w:eastAsia="宋体"/>
      <w:sz w:val="28"/>
      <w:szCs w:val="20"/>
    </w:rPr>
  </w:style>
  <w:style w:type="paragraph" w:styleId="20">
    <w:name w:val="toa heading"/>
    <w:basedOn w:val="1"/>
    <w:next w:val="1"/>
    <w:qFormat/>
    <w:uiPriority w:val="0"/>
    <w:pPr>
      <w:spacing w:before="120"/>
      <w:jc w:val="both"/>
    </w:pPr>
    <w:rPr>
      <w:rFonts w:ascii="Arial" w:hAnsi="Arial" w:eastAsia="宋体"/>
      <w:szCs w:val="20"/>
    </w:rPr>
  </w:style>
  <w:style w:type="paragraph" w:styleId="21">
    <w:name w:val="annotation text"/>
    <w:basedOn w:val="1"/>
    <w:link w:val="85"/>
    <w:qFormat/>
    <w:uiPriority w:val="0"/>
    <w:pPr>
      <w:adjustRightInd w:val="0"/>
      <w:spacing w:line="360" w:lineRule="atLeast"/>
    </w:pPr>
    <w:rPr>
      <w:rFonts w:ascii="Calibri" w:hAnsi="Calibri" w:eastAsia="宋体"/>
      <w:kern w:val="0"/>
      <w:szCs w:val="20"/>
    </w:rPr>
  </w:style>
  <w:style w:type="paragraph" w:styleId="22">
    <w:name w:val="Body Text 3"/>
    <w:basedOn w:val="1"/>
    <w:link w:val="86"/>
    <w:qFormat/>
    <w:uiPriority w:val="0"/>
    <w:pPr>
      <w:adjustRightInd w:val="0"/>
      <w:snapToGrid w:val="0"/>
      <w:spacing w:after="120" w:line="360" w:lineRule="auto"/>
      <w:jc w:val="both"/>
    </w:pPr>
    <w:rPr>
      <w:rFonts w:ascii="Calibri" w:hAnsi="Calibri" w:eastAsia="宋体"/>
      <w:sz w:val="16"/>
      <w:szCs w:val="20"/>
    </w:rPr>
  </w:style>
  <w:style w:type="paragraph" w:styleId="23">
    <w:name w:val="List Bullet 3"/>
    <w:basedOn w:val="1"/>
    <w:qFormat/>
    <w:uiPriority w:val="0"/>
    <w:pPr>
      <w:tabs>
        <w:tab w:val="left" w:pos="1200"/>
      </w:tabs>
      <w:adjustRightInd w:val="0"/>
      <w:snapToGrid w:val="0"/>
      <w:spacing w:line="360" w:lineRule="auto"/>
      <w:ind w:left="1200" w:hanging="360"/>
      <w:jc w:val="both"/>
    </w:pPr>
    <w:rPr>
      <w:rFonts w:ascii="Calibri" w:hAnsi="Calibri" w:eastAsia="宋体"/>
      <w:szCs w:val="20"/>
    </w:rPr>
  </w:style>
  <w:style w:type="paragraph" w:styleId="24">
    <w:name w:val="Body Text Indent"/>
    <w:basedOn w:val="1"/>
    <w:link w:val="87"/>
    <w:qFormat/>
    <w:uiPriority w:val="0"/>
    <w:pPr>
      <w:spacing w:line="700" w:lineRule="exact"/>
      <w:ind w:left="960"/>
      <w:jc w:val="both"/>
    </w:pPr>
    <w:rPr>
      <w:rFonts w:ascii="Calibri" w:hAnsi="Calibri" w:eastAsia="宋体"/>
      <w:sz w:val="44"/>
      <w:szCs w:val="20"/>
    </w:rPr>
  </w:style>
  <w:style w:type="paragraph" w:styleId="25">
    <w:name w:val="List Number 3"/>
    <w:basedOn w:val="1"/>
    <w:qFormat/>
    <w:uiPriority w:val="0"/>
    <w:pPr>
      <w:tabs>
        <w:tab w:val="left" w:pos="2120"/>
      </w:tabs>
      <w:adjustRightInd w:val="0"/>
      <w:snapToGrid w:val="0"/>
      <w:spacing w:line="360" w:lineRule="auto"/>
      <w:ind w:left="2120" w:hanging="720"/>
      <w:jc w:val="both"/>
    </w:pPr>
    <w:rPr>
      <w:rFonts w:ascii="Calibri" w:hAnsi="Calibri" w:eastAsia="宋体"/>
      <w:szCs w:val="20"/>
    </w:rPr>
  </w:style>
  <w:style w:type="paragraph" w:styleId="26">
    <w:name w:val="List 2"/>
    <w:basedOn w:val="1"/>
    <w:qFormat/>
    <w:uiPriority w:val="0"/>
    <w:pPr>
      <w:adjustRightInd w:val="0"/>
      <w:snapToGrid w:val="0"/>
      <w:spacing w:line="360" w:lineRule="auto"/>
      <w:ind w:left="100" w:leftChars="200" w:hanging="200" w:hangingChars="200"/>
      <w:jc w:val="both"/>
    </w:pPr>
    <w:rPr>
      <w:rFonts w:ascii="Calibri" w:hAnsi="Calibri" w:eastAsia="宋体"/>
      <w:szCs w:val="20"/>
    </w:rPr>
  </w:style>
  <w:style w:type="paragraph" w:styleId="27">
    <w:name w:val="List Continue"/>
    <w:basedOn w:val="1"/>
    <w:qFormat/>
    <w:uiPriority w:val="0"/>
    <w:pPr>
      <w:adjustRightInd w:val="0"/>
      <w:snapToGrid w:val="0"/>
      <w:spacing w:after="120" w:line="360" w:lineRule="auto"/>
      <w:ind w:left="420" w:leftChars="200"/>
      <w:jc w:val="both"/>
    </w:pPr>
    <w:rPr>
      <w:rFonts w:ascii="Calibri" w:hAnsi="Calibri" w:eastAsia="宋体"/>
      <w:szCs w:val="20"/>
    </w:rPr>
  </w:style>
  <w:style w:type="paragraph" w:styleId="28">
    <w:name w:val="Block Text"/>
    <w:basedOn w:val="1"/>
    <w:qFormat/>
    <w:uiPriority w:val="0"/>
    <w:pPr>
      <w:spacing w:after="120"/>
      <w:ind w:left="1440" w:leftChars="700" w:right="1440" w:rightChars="700"/>
      <w:jc w:val="both"/>
    </w:pPr>
    <w:rPr>
      <w:rFonts w:ascii="Calibri" w:hAnsi="Calibri" w:eastAsia="宋体"/>
      <w:sz w:val="28"/>
      <w:szCs w:val="20"/>
    </w:rPr>
  </w:style>
  <w:style w:type="paragraph" w:styleId="29">
    <w:name w:val="List Bullet 2"/>
    <w:basedOn w:val="1"/>
    <w:qFormat/>
    <w:uiPriority w:val="0"/>
    <w:pPr>
      <w:numPr>
        <w:ilvl w:val="0"/>
        <w:numId w:val="2"/>
      </w:numPr>
      <w:adjustRightInd w:val="0"/>
      <w:snapToGrid w:val="0"/>
      <w:spacing w:line="360" w:lineRule="auto"/>
      <w:jc w:val="both"/>
    </w:pPr>
    <w:rPr>
      <w:rFonts w:ascii="Calibri" w:hAnsi="Calibri" w:eastAsia="宋体"/>
      <w:szCs w:val="20"/>
    </w:rPr>
  </w:style>
  <w:style w:type="paragraph" w:styleId="30">
    <w:name w:val="toc 5"/>
    <w:basedOn w:val="1"/>
    <w:next w:val="1"/>
    <w:qFormat/>
    <w:uiPriority w:val="0"/>
    <w:pPr>
      <w:ind w:left="1680" w:leftChars="800"/>
      <w:jc w:val="both"/>
    </w:pPr>
    <w:rPr>
      <w:rFonts w:ascii="Calibri" w:hAnsi="Calibri" w:eastAsia="宋体"/>
      <w:sz w:val="28"/>
      <w:szCs w:val="20"/>
    </w:rPr>
  </w:style>
  <w:style w:type="paragraph" w:styleId="31">
    <w:name w:val="toc 3"/>
    <w:basedOn w:val="1"/>
    <w:next w:val="1"/>
    <w:qFormat/>
    <w:uiPriority w:val="39"/>
    <w:pPr>
      <w:ind w:left="840" w:leftChars="400"/>
      <w:jc w:val="both"/>
    </w:pPr>
    <w:rPr>
      <w:rFonts w:ascii="Calibri" w:hAnsi="Calibri" w:eastAsia="宋体"/>
      <w:sz w:val="28"/>
      <w:szCs w:val="20"/>
    </w:rPr>
  </w:style>
  <w:style w:type="paragraph" w:styleId="32">
    <w:name w:val="Plain Text"/>
    <w:basedOn w:val="1"/>
    <w:link w:val="88"/>
    <w:qFormat/>
    <w:uiPriority w:val="0"/>
    <w:pPr>
      <w:jc w:val="both"/>
    </w:pPr>
    <w:rPr>
      <w:rFonts w:ascii="宋体" w:hAnsi="Courier New" w:eastAsia="宋体"/>
      <w:sz w:val="21"/>
      <w:szCs w:val="20"/>
    </w:rPr>
  </w:style>
  <w:style w:type="paragraph" w:styleId="33">
    <w:name w:val="toc 8"/>
    <w:basedOn w:val="1"/>
    <w:next w:val="1"/>
    <w:qFormat/>
    <w:uiPriority w:val="0"/>
    <w:pPr>
      <w:ind w:left="2940" w:leftChars="1400"/>
      <w:jc w:val="both"/>
    </w:pPr>
    <w:rPr>
      <w:rFonts w:ascii="Calibri" w:hAnsi="Calibri" w:eastAsia="宋体"/>
      <w:sz w:val="28"/>
      <w:szCs w:val="20"/>
    </w:rPr>
  </w:style>
  <w:style w:type="paragraph" w:styleId="34">
    <w:name w:val="Date"/>
    <w:basedOn w:val="1"/>
    <w:next w:val="1"/>
    <w:link w:val="89"/>
    <w:unhideWhenUsed/>
    <w:qFormat/>
    <w:uiPriority w:val="0"/>
    <w:pPr>
      <w:ind w:left="100" w:leftChars="2500"/>
    </w:pPr>
  </w:style>
  <w:style w:type="paragraph" w:styleId="35">
    <w:name w:val="Body Text Indent 2"/>
    <w:basedOn w:val="1"/>
    <w:link w:val="90"/>
    <w:qFormat/>
    <w:uiPriority w:val="0"/>
    <w:pPr>
      <w:snapToGrid w:val="0"/>
      <w:spacing w:line="560" w:lineRule="atLeast"/>
      <w:ind w:firstLine="540"/>
    </w:pPr>
  </w:style>
  <w:style w:type="paragraph" w:styleId="36">
    <w:name w:val="Balloon Text"/>
    <w:basedOn w:val="1"/>
    <w:link w:val="91"/>
    <w:qFormat/>
    <w:uiPriority w:val="0"/>
    <w:pPr>
      <w:jc w:val="both"/>
    </w:pPr>
    <w:rPr>
      <w:rFonts w:ascii="Calibri" w:hAnsi="Calibri" w:eastAsia="宋体"/>
      <w:sz w:val="18"/>
      <w:szCs w:val="20"/>
    </w:rPr>
  </w:style>
  <w:style w:type="paragraph" w:styleId="37">
    <w:name w:val="footer"/>
    <w:basedOn w:val="1"/>
    <w:link w:val="92"/>
    <w:unhideWhenUsed/>
    <w:qFormat/>
    <w:uiPriority w:val="99"/>
    <w:pPr>
      <w:tabs>
        <w:tab w:val="center" w:pos="4153"/>
        <w:tab w:val="right" w:pos="8306"/>
      </w:tabs>
      <w:snapToGrid w:val="0"/>
    </w:pPr>
    <w:rPr>
      <w:sz w:val="18"/>
      <w:szCs w:val="18"/>
    </w:rPr>
  </w:style>
  <w:style w:type="paragraph" w:styleId="38">
    <w:name w:val="header"/>
    <w:basedOn w:val="1"/>
    <w:link w:val="93"/>
    <w:unhideWhenUsed/>
    <w:qFormat/>
    <w:uiPriority w:val="0"/>
    <w:pPr>
      <w:pBdr>
        <w:bottom w:val="single" w:color="auto" w:sz="6" w:space="1"/>
      </w:pBdr>
      <w:tabs>
        <w:tab w:val="center" w:pos="4153"/>
        <w:tab w:val="right" w:pos="8306"/>
      </w:tabs>
      <w:snapToGrid w:val="0"/>
      <w:jc w:val="center"/>
    </w:pPr>
    <w:rPr>
      <w:sz w:val="18"/>
      <w:szCs w:val="18"/>
    </w:rPr>
  </w:style>
  <w:style w:type="paragraph" w:styleId="39">
    <w:name w:val="toc 1"/>
    <w:basedOn w:val="1"/>
    <w:next w:val="1"/>
    <w:qFormat/>
    <w:uiPriority w:val="39"/>
    <w:pPr>
      <w:spacing w:line="180" w:lineRule="auto"/>
      <w:jc w:val="center"/>
    </w:pPr>
    <w:rPr>
      <w:rFonts w:ascii="Calibri" w:hAnsi="Calibri" w:eastAsia="宋体"/>
      <w:sz w:val="30"/>
      <w:szCs w:val="20"/>
    </w:rPr>
  </w:style>
  <w:style w:type="paragraph" w:styleId="40">
    <w:name w:val="List Continue 4"/>
    <w:basedOn w:val="1"/>
    <w:qFormat/>
    <w:uiPriority w:val="0"/>
    <w:pPr>
      <w:adjustRightInd w:val="0"/>
      <w:snapToGrid w:val="0"/>
      <w:spacing w:after="120" w:line="360" w:lineRule="auto"/>
      <w:ind w:left="1680" w:leftChars="800"/>
      <w:jc w:val="both"/>
    </w:pPr>
    <w:rPr>
      <w:rFonts w:ascii="Calibri" w:hAnsi="Calibri" w:eastAsia="宋体"/>
      <w:szCs w:val="20"/>
    </w:rPr>
  </w:style>
  <w:style w:type="paragraph" w:styleId="41">
    <w:name w:val="toc 4"/>
    <w:basedOn w:val="1"/>
    <w:next w:val="1"/>
    <w:qFormat/>
    <w:uiPriority w:val="0"/>
    <w:pPr>
      <w:ind w:left="1260" w:leftChars="600"/>
      <w:jc w:val="both"/>
    </w:pPr>
    <w:rPr>
      <w:rFonts w:ascii="Calibri" w:hAnsi="Calibri" w:eastAsia="宋体"/>
      <w:sz w:val="28"/>
      <w:szCs w:val="20"/>
    </w:rPr>
  </w:style>
  <w:style w:type="paragraph" w:styleId="42">
    <w:name w:val="Subtitle"/>
    <w:basedOn w:val="1"/>
    <w:link w:val="94"/>
    <w:qFormat/>
    <w:uiPriority w:val="99"/>
    <w:pPr>
      <w:spacing w:before="240" w:after="60" w:line="312" w:lineRule="auto"/>
      <w:jc w:val="center"/>
      <w:outlineLvl w:val="1"/>
    </w:pPr>
    <w:rPr>
      <w:rFonts w:ascii="Cambria" w:hAnsi="Cambria" w:eastAsia="宋体"/>
      <w:b/>
      <w:bCs/>
      <w:kern w:val="28"/>
      <w:sz w:val="32"/>
      <w:szCs w:val="32"/>
    </w:rPr>
  </w:style>
  <w:style w:type="paragraph" w:styleId="43">
    <w:name w:val="footnote text"/>
    <w:basedOn w:val="1"/>
    <w:link w:val="95"/>
    <w:qFormat/>
    <w:uiPriority w:val="0"/>
    <w:pPr>
      <w:spacing w:line="360" w:lineRule="auto"/>
      <w:jc w:val="both"/>
    </w:pPr>
    <w:rPr>
      <w:rFonts w:ascii="Calibri" w:hAnsi="Calibri" w:eastAsia="宋体"/>
      <w:sz w:val="18"/>
      <w:szCs w:val="20"/>
    </w:rPr>
  </w:style>
  <w:style w:type="paragraph" w:styleId="44">
    <w:name w:val="toc 6"/>
    <w:basedOn w:val="1"/>
    <w:next w:val="1"/>
    <w:qFormat/>
    <w:uiPriority w:val="0"/>
    <w:pPr>
      <w:ind w:left="2100" w:leftChars="1000"/>
      <w:jc w:val="both"/>
    </w:pPr>
    <w:rPr>
      <w:rFonts w:ascii="Calibri" w:hAnsi="Calibri" w:eastAsia="宋体"/>
      <w:sz w:val="28"/>
      <w:szCs w:val="20"/>
    </w:rPr>
  </w:style>
  <w:style w:type="paragraph" w:styleId="45">
    <w:name w:val="List 5"/>
    <w:basedOn w:val="1"/>
    <w:qFormat/>
    <w:uiPriority w:val="0"/>
    <w:pPr>
      <w:adjustRightInd w:val="0"/>
      <w:snapToGrid w:val="0"/>
      <w:spacing w:line="360" w:lineRule="auto"/>
      <w:ind w:left="100" w:leftChars="800" w:hanging="200" w:hangingChars="200"/>
      <w:jc w:val="both"/>
    </w:pPr>
    <w:rPr>
      <w:rFonts w:ascii="Calibri" w:hAnsi="Calibri" w:eastAsia="宋体"/>
      <w:szCs w:val="20"/>
    </w:rPr>
  </w:style>
  <w:style w:type="paragraph" w:styleId="46">
    <w:name w:val="Body Text Indent 3"/>
    <w:basedOn w:val="1"/>
    <w:link w:val="96"/>
    <w:qFormat/>
    <w:uiPriority w:val="0"/>
    <w:pPr>
      <w:spacing w:line="360" w:lineRule="auto"/>
      <w:ind w:firstLine="632"/>
      <w:jc w:val="both"/>
    </w:pPr>
    <w:rPr>
      <w:rFonts w:ascii="黑体" w:hAnsi="Calibri" w:eastAsia="黑体"/>
      <w:sz w:val="28"/>
      <w:szCs w:val="20"/>
    </w:rPr>
  </w:style>
  <w:style w:type="paragraph" w:styleId="47">
    <w:name w:val="index 7"/>
    <w:basedOn w:val="1"/>
    <w:next w:val="1"/>
    <w:qFormat/>
    <w:uiPriority w:val="0"/>
    <w:pPr>
      <w:ind w:left="2520"/>
      <w:jc w:val="both"/>
    </w:pPr>
    <w:rPr>
      <w:rFonts w:ascii="Calibri" w:hAnsi="Calibri" w:eastAsia="宋体"/>
      <w:sz w:val="28"/>
      <w:szCs w:val="20"/>
    </w:rPr>
  </w:style>
  <w:style w:type="paragraph" w:styleId="48">
    <w:name w:val="table of figures"/>
    <w:basedOn w:val="1"/>
    <w:next w:val="1"/>
    <w:qFormat/>
    <w:uiPriority w:val="0"/>
    <w:pPr>
      <w:tabs>
        <w:tab w:val="right" w:leader="dot" w:pos="8640"/>
      </w:tabs>
      <w:spacing w:line="360" w:lineRule="auto"/>
      <w:ind w:left="400" w:hanging="400"/>
      <w:jc w:val="both"/>
    </w:pPr>
    <w:rPr>
      <w:rFonts w:ascii="Calibri" w:hAnsi="Calibri" w:eastAsia="宋体"/>
      <w:szCs w:val="20"/>
    </w:rPr>
  </w:style>
  <w:style w:type="paragraph" w:styleId="49">
    <w:name w:val="toc 2"/>
    <w:basedOn w:val="1"/>
    <w:next w:val="1"/>
    <w:qFormat/>
    <w:uiPriority w:val="39"/>
    <w:pPr>
      <w:ind w:left="420" w:leftChars="200"/>
      <w:jc w:val="both"/>
    </w:pPr>
    <w:rPr>
      <w:rFonts w:ascii="Calibri" w:hAnsi="Calibri" w:eastAsia="宋体"/>
      <w:sz w:val="28"/>
      <w:szCs w:val="20"/>
    </w:rPr>
  </w:style>
  <w:style w:type="paragraph" w:styleId="50">
    <w:name w:val="toc 9"/>
    <w:basedOn w:val="1"/>
    <w:next w:val="1"/>
    <w:qFormat/>
    <w:uiPriority w:val="0"/>
    <w:pPr>
      <w:ind w:left="3360" w:leftChars="1600"/>
      <w:jc w:val="both"/>
    </w:pPr>
    <w:rPr>
      <w:rFonts w:ascii="Calibri" w:hAnsi="Calibri" w:eastAsia="宋体"/>
      <w:sz w:val="28"/>
      <w:szCs w:val="20"/>
    </w:rPr>
  </w:style>
  <w:style w:type="paragraph" w:styleId="51">
    <w:name w:val="Body Text 2"/>
    <w:basedOn w:val="1"/>
    <w:link w:val="97"/>
    <w:qFormat/>
    <w:uiPriority w:val="0"/>
    <w:pPr>
      <w:adjustRightInd w:val="0"/>
      <w:snapToGrid w:val="0"/>
      <w:spacing w:after="120" w:line="480" w:lineRule="auto"/>
      <w:jc w:val="both"/>
    </w:pPr>
    <w:rPr>
      <w:rFonts w:ascii="Calibri" w:hAnsi="Calibri" w:eastAsia="宋体"/>
      <w:szCs w:val="20"/>
    </w:rPr>
  </w:style>
  <w:style w:type="paragraph" w:styleId="52">
    <w:name w:val="List 4"/>
    <w:basedOn w:val="1"/>
    <w:qFormat/>
    <w:uiPriority w:val="0"/>
    <w:pPr>
      <w:adjustRightInd w:val="0"/>
      <w:snapToGrid w:val="0"/>
      <w:spacing w:line="360" w:lineRule="auto"/>
      <w:ind w:left="100" w:leftChars="600" w:hanging="200" w:hangingChars="200"/>
      <w:jc w:val="both"/>
    </w:pPr>
    <w:rPr>
      <w:rFonts w:ascii="Calibri" w:hAnsi="Calibri" w:eastAsia="宋体"/>
      <w:szCs w:val="20"/>
    </w:rPr>
  </w:style>
  <w:style w:type="paragraph" w:styleId="53">
    <w:name w:val="List Continue 2"/>
    <w:basedOn w:val="1"/>
    <w:qFormat/>
    <w:uiPriority w:val="0"/>
    <w:pPr>
      <w:adjustRightInd w:val="0"/>
      <w:snapToGrid w:val="0"/>
      <w:spacing w:after="120" w:line="360" w:lineRule="auto"/>
      <w:ind w:left="840" w:leftChars="400"/>
      <w:jc w:val="both"/>
    </w:pPr>
    <w:rPr>
      <w:rFonts w:ascii="Calibri" w:hAnsi="Calibri" w:eastAsia="宋体"/>
      <w:szCs w:val="20"/>
    </w:rPr>
  </w:style>
  <w:style w:type="paragraph" w:styleId="54">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55">
    <w:name w:val="HTML Preformatted"/>
    <w:basedOn w:val="1"/>
    <w:link w:val="98"/>
    <w:qFormat/>
    <w:uiPriority w:val="0"/>
    <w:pPr>
      <w:jc w:val="both"/>
    </w:pPr>
    <w:rPr>
      <w:rFonts w:ascii="Courier New" w:hAnsi="Courier New" w:eastAsia="宋体"/>
      <w:sz w:val="20"/>
      <w:szCs w:val="20"/>
    </w:rPr>
  </w:style>
  <w:style w:type="paragraph" w:styleId="56">
    <w:name w:val="Normal (Web)"/>
    <w:basedOn w:val="1"/>
    <w:qFormat/>
    <w:uiPriority w:val="0"/>
    <w:pPr>
      <w:widowControl/>
      <w:spacing w:before="100" w:beforeAutospacing="1" w:after="100" w:afterAutospacing="1"/>
    </w:pPr>
    <w:rPr>
      <w:rFonts w:ascii="宋体" w:hAnsi="宋体" w:eastAsia="宋体"/>
      <w:kern w:val="0"/>
      <w:szCs w:val="20"/>
    </w:rPr>
  </w:style>
  <w:style w:type="paragraph" w:styleId="57">
    <w:name w:val="List Continue 3"/>
    <w:basedOn w:val="1"/>
    <w:qFormat/>
    <w:uiPriority w:val="0"/>
    <w:pPr>
      <w:adjustRightInd w:val="0"/>
      <w:snapToGrid w:val="0"/>
      <w:spacing w:after="120" w:line="360" w:lineRule="auto"/>
      <w:ind w:left="1260" w:leftChars="600"/>
      <w:jc w:val="both"/>
    </w:pPr>
    <w:rPr>
      <w:rFonts w:ascii="Calibri" w:hAnsi="Calibri" w:eastAsia="宋体"/>
      <w:szCs w:val="20"/>
    </w:rPr>
  </w:style>
  <w:style w:type="paragraph" w:styleId="58">
    <w:name w:val="index 1"/>
    <w:basedOn w:val="1"/>
    <w:next w:val="1"/>
    <w:qFormat/>
    <w:uiPriority w:val="0"/>
    <w:pPr>
      <w:adjustRightInd w:val="0"/>
      <w:spacing w:line="240" w:lineRule="atLeast"/>
      <w:jc w:val="both"/>
    </w:pPr>
    <w:rPr>
      <w:rFonts w:ascii="宋体" w:hAnsi="Calibri" w:eastAsia="宋体"/>
      <w:kern w:val="0"/>
      <w:sz w:val="21"/>
      <w:szCs w:val="20"/>
    </w:rPr>
  </w:style>
  <w:style w:type="paragraph" w:styleId="59">
    <w:name w:val="Title"/>
    <w:basedOn w:val="1"/>
    <w:link w:val="99"/>
    <w:qFormat/>
    <w:uiPriority w:val="0"/>
    <w:pPr>
      <w:widowControl/>
      <w:spacing w:after="240" w:line="360" w:lineRule="auto"/>
      <w:jc w:val="center"/>
    </w:pPr>
    <w:rPr>
      <w:rFonts w:ascii="Arial" w:hAnsi="Arial" w:eastAsia="宋体"/>
      <w:b/>
      <w:kern w:val="28"/>
      <w:sz w:val="36"/>
      <w:szCs w:val="20"/>
      <w:lang w:eastAsia="en-US"/>
    </w:rPr>
  </w:style>
  <w:style w:type="paragraph" w:styleId="60">
    <w:name w:val="annotation subject"/>
    <w:basedOn w:val="21"/>
    <w:next w:val="21"/>
    <w:link w:val="100"/>
    <w:qFormat/>
    <w:uiPriority w:val="0"/>
    <w:pPr>
      <w:adjustRightInd/>
      <w:spacing w:line="240" w:lineRule="auto"/>
    </w:pPr>
  </w:style>
  <w:style w:type="paragraph" w:styleId="61">
    <w:name w:val="Body Text First Indent"/>
    <w:basedOn w:val="2"/>
    <w:next w:val="1"/>
    <w:link w:val="101"/>
    <w:qFormat/>
    <w:uiPriority w:val="0"/>
    <w:pPr>
      <w:spacing w:line="360" w:lineRule="auto"/>
      <w:ind w:firstLine="420"/>
      <w:jc w:val="both"/>
    </w:pPr>
    <w:rPr>
      <w:rFonts w:ascii="宋体" w:hAnsi="宋体" w:eastAsia="宋体"/>
      <w:szCs w:val="20"/>
    </w:rPr>
  </w:style>
  <w:style w:type="paragraph" w:styleId="62">
    <w:name w:val="Body Text First Indent 2"/>
    <w:basedOn w:val="24"/>
    <w:next w:val="1"/>
    <w:link w:val="102"/>
    <w:qFormat/>
    <w:uiPriority w:val="0"/>
    <w:pPr>
      <w:spacing w:after="120" w:line="240" w:lineRule="auto"/>
      <w:ind w:left="420" w:leftChars="200" w:firstLine="420" w:firstLineChars="200"/>
    </w:pPr>
  </w:style>
  <w:style w:type="table" w:styleId="64">
    <w:name w:val="Table Grid"/>
    <w:basedOn w:val="6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6">
    <w:name w:val="Strong"/>
    <w:qFormat/>
    <w:uiPriority w:val="0"/>
    <w:rPr>
      <w:b/>
    </w:rPr>
  </w:style>
  <w:style w:type="character" w:styleId="67">
    <w:name w:val="page number"/>
    <w:basedOn w:val="65"/>
    <w:qFormat/>
    <w:uiPriority w:val="0"/>
  </w:style>
  <w:style w:type="character" w:styleId="68">
    <w:name w:val="FollowedHyperlink"/>
    <w:qFormat/>
    <w:uiPriority w:val="0"/>
    <w:rPr>
      <w:color w:val="800080"/>
      <w:u w:val="single"/>
    </w:rPr>
  </w:style>
  <w:style w:type="character" w:styleId="69">
    <w:name w:val="Emphasis"/>
    <w:qFormat/>
    <w:uiPriority w:val="0"/>
    <w:rPr>
      <w:i/>
    </w:rPr>
  </w:style>
  <w:style w:type="character" w:styleId="70">
    <w:name w:val="Hyperlink"/>
    <w:qFormat/>
    <w:uiPriority w:val="99"/>
    <w:rPr>
      <w:color w:val="0000FF"/>
      <w:u w:val="single"/>
    </w:rPr>
  </w:style>
  <w:style w:type="character" w:styleId="71">
    <w:name w:val="HTML Code"/>
    <w:basedOn w:val="65"/>
    <w:unhideWhenUsed/>
    <w:qFormat/>
    <w:uiPriority w:val="99"/>
    <w:rPr>
      <w:rFonts w:ascii="Courier New" w:hAnsi="Courier New"/>
      <w:sz w:val="20"/>
    </w:rPr>
  </w:style>
  <w:style w:type="character" w:styleId="72">
    <w:name w:val="annotation reference"/>
    <w:qFormat/>
    <w:uiPriority w:val="0"/>
    <w:rPr>
      <w:sz w:val="21"/>
      <w:szCs w:val="21"/>
    </w:rPr>
  </w:style>
  <w:style w:type="character" w:styleId="73">
    <w:name w:val="footnote reference"/>
    <w:qFormat/>
    <w:uiPriority w:val="0"/>
    <w:rPr>
      <w:position w:val="6"/>
      <w:sz w:val="14"/>
      <w:vertAlign w:val="superscript"/>
    </w:rPr>
  </w:style>
  <w:style w:type="character" w:customStyle="1" w:styleId="74">
    <w:name w:val="正文文本 字符"/>
    <w:basedOn w:val="65"/>
    <w:link w:val="2"/>
    <w:semiHidden/>
    <w:qFormat/>
    <w:uiPriority w:val="99"/>
    <w:rPr>
      <w:rFonts w:ascii="宋体" w:hAnsi="宋体" w:eastAsia="宋体" w:cs="Times New Roman"/>
      <w:sz w:val="24"/>
      <w:szCs w:val="24"/>
    </w:rPr>
  </w:style>
  <w:style w:type="character" w:customStyle="1" w:styleId="75">
    <w:name w:val="标题 1 字符"/>
    <w:basedOn w:val="65"/>
    <w:link w:val="3"/>
    <w:qFormat/>
    <w:uiPriority w:val="0"/>
    <w:rPr>
      <w:rFonts w:ascii="宋体" w:hAnsi="宋体" w:cs="Times New Roman"/>
      <w:b/>
      <w:sz w:val="32"/>
    </w:rPr>
  </w:style>
  <w:style w:type="character" w:customStyle="1" w:styleId="76">
    <w:name w:val="标题 2 字符"/>
    <w:basedOn w:val="65"/>
    <w:link w:val="4"/>
    <w:qFormat/>
    <w:uiPriority w:val="0"/>
    <w:rPr>
      <w:rFonts w:ascii="宋体" w:hAnsi="宋体" w:eastAsia="宋体" w:cs="宋体"/>
      <w:b/>
      <w:bCs/>
      <w:sz w:val="28"/>
      <w:szCs w:val="24"/>
    </w:rPr>
  </w:style>
  <w:style w:type="character" w:customStyle="1" w:styleId="77">
    <w:name w:val="标题 3 字符"/>
    <w:basedOn w:val="65"/>
    <w:link w:val="5"/>
    <w:qFormat/>
    <w:uiPriority w:val="0"/>
    <w:rPr>
      <w:rFonts w:ascii="宋体" w:hAnsi="宋体" w:cs="Times New Roman"/>
      <w:b/>
      <w:bCs/>
      <w:sz w:val="32"/>
      <w:szCs w:val="32"/>
    </w:rPr>
  </w:style>
  <w:style w:type="character" w:customStyle="1" w:styleId="78">
    <w:name w:val="标题 4 字符"/>
    <w:basedOn w:val="65"/>
    <w:link w:val="6"/>
    <w:semiHidden/>
    <w:qFormat/>
    <w:uiPriority w:val="9"/>
    <w:rPr>
      <w:rFonts w:ascii="Cambria" w:hAnsi="Cambria" w:eastAsia="宋体" w:cs="Times New Roman"/>
      <w:b/>
      <w:bCs/>
      <w:sz w:val="28"/>
      <w:szCs w:val="28"/>
    </w:rPr>
  </w:style>
  <w:style w:type="character" w:customStyle="1" w:styleId="79">
    <w:name w:val="标题 5 字符"/>
    <w:basedOn w:val="65"/>
    <w:link w:val="7"/>
    <w:semiHidden/>
    <w:qFormat/>
    <w:uiPriority w:val="9"/>
    <w:rPr>
      <w:rFonts w:ascii="宋体" w:hAnsi="宋体" w:eastAsia="宋体" w:cs="Times New Roman"/>
      <w:b/>
      <w:bCs/>
      <w:sz w:val="28"/>
      <w:szCs w:val="28"/>
    </w:rPr>
  </w:style>
  <w:style w:type="character" w:customStyle="1" w:styleId="80">
    <w:name w:val="标题 6 字符"/>
    <w:basedOn w:val="65"/>
    <w:link w:val="8"/>
    <w:qFormat/>
    <w:uiPriority w:val="0"/>
    <w:rPr>
      <w:rFonts w:ascii="Arial" w:hAnsi="Arial" w:eastAsia="黑体" w:cs="Times New Roman"/>
      <w:b/>
      <w:sz w:val="24"/>
      <w:szCs w:val="20"/>
    </w:rPr>
  </w:style>
  <w:style w:type="character" w:customStyle="1" w:styleId="81">
    <w:name w:val="标题 7 字符"/>
    <w:basedOn w:val="65"/>
    <w:link w:val="9"/>
    <w:qFormat/>
    <w:uiPriority w:val="0"/>
    <w:rPr>
      <w:rFonts w:ascii="Arial" w:hAnsi="Arial" w:eastAsia="黑体" w:cs="Times New Roman"/>
      <w:b/>
      <w:sz w:val="24"/>
      <w:szCs w:val="20"/>
    </w:rPr>
  </w:style>
  <w:style w:type="character" w:customStyle="1" w:styleId="82">
    <w:name w:val="标题 8 字符"/>
    <w:basedOn w:val="65"/>
    <w:link w:val="10"/>
    <w:qFormat/>
    <w:uiPriority w:val="0"/>
    <w:rPr>
      <w:rFonts w:ascii="Arial" w:hAnsi="Arial" w:eastAsia="黑体" w:cs="Times New Roman"/>
      <w:b/>
      <w:sz w:val="24"/>
      <w:szCs w:val="20"/>
    </w:rPr>
  </w:style>
  <w:style w:type="character" w:customStyle="1" w:styleId="83">
    <w:name w:val="标题 9 字符"/>
    <w:basedOn w:val="65"/>
    <w:link w:val="11"/>
    <w:qFormat/>
    <w:uiPriority w:val="0"/>
    <w:rPr>
      <w:rFonts w:ascii="Arial" w:hAnsi="Arial" w:eastAsia="黑体" w:cs="Times New Roman"/>
      <w:b/>
      <w:sz w:val="24"/>
      <w:szCs w:val="20"/>
    </w:rPr>
  </w:style>
  <w:style w:type="character" w:customStyle="1" w:styleId="84">
    <w:name w:val="文档结构图 字符"/>
    <w:basedOn w:val="65"/>
    <w:link w:val="19"/>
    <w:qFormat/>
    <w:uiPriority w:val="0"/>
    <w:rPr>
      <w:rFonts w:ascii="Calibri" w:hAnsi="Calibri" w:eastAsia="宋体" w:cs="Times New Roman"/>
      <w:sz w:val="28"/>
      <w:szCs w:val="20"/>
      <w:shd w:val="clear" w:color="auto" w:fill="000080"/>
    </w:rPr>
  </w:style>
  <w:style w:type="character" w:customStyle="1" w:styleId="85">
    <w:name w:val="批注文字 字符"/>
    <w:basedOn w:val="65"/>
    <w:link w:val="21"/>
    <w:qFormat/>
    <w:uiPriority w:val="0"/>
    <w:rPr>
      <w:rFonts w:ascii="Calibri" w:hAnsi="Calibri" w:eastAsia="宋体" w:cs="Times New Roman"/>
      <w:kern w:val="0"/>
      <w:sz w:val="24"/>
      <w:szCs w:val="20"/>
    </w:rPr>
  </w:style>
  <w:style w:type="character" w:customStyle="1" w:styleId="86">
    <w:name w:val="正文文本 3 字符"/>
    <w:basedOn w:val="65"/>
    <w:link w:val="22"/>
    <w:qFormat/>
    <w:uiPriority w:val="0"/>
    <w:rPr>
      <w:rFonts w:ascii="Calibri" w:hAnsi="Calibri" w:eastAsia="宋体" w:cs="Times New Roman"/>
      <w:sz w:val="16"/>
      <w:szCs w:val="20"/>
    </w:rPr>
  </w:style>
  <w:style w:type="character" w:customStyle="1" w:styleId="87">
    <w:name w:val="正文文本缩进 字符"/>
    <w:basedOn w:val="65"/>
    <w:link w:val="24"/>
    <w:qFormat/>
    <w:uiPriority w:val="0"/>
    <w:rPr>
      <w:rFonts w:ascii="Calibri" w:hAnsi="Calibri" w:eastAsia="宋体" w:cs="Times New Roman"/>
      <w:sz w:val="44"/>
      <w:szCs w:val="20"/>
    </w:rPr>
  </w:style>
  <w:style w:type="character" w:customStyle="1" w:styleId="88">
    <w:name w:val="纯文本 字符"/>
    <w:basedOn w:val="65"/>
    <w:link w:val="32"/>
    <w:qFormat/>
    <w:uiPriority w:val="0"/>
    <w:rPr>
      <w:rFonts w:ascii="宋体" w:hAnsi="Courier New" w:eastAsia="宋体" w:cs="Times New Roman"/>
      <w:szCs w:val="20"/>
    </w:rPr>
  </w:style>
  <w:style w:type="character" w:customStyle="1" w:styleId="89">
    <w:name w:val="日期 字符"/>
    <w:basedOn w:val="65"/>
    <w:link w:val="34"/>
    <w:qFormat/>
    <w:uiPriority w:val="0"/>
    <w:rPr>
      <w:rFonts w:ascii="宋体" w:hAnsi="宋体" w:cs="Times New Roman"/>
      <w:sz w:val="22"/>
    </w:rPr>
  </w:style>
  <w:style w:type="character" w:customStyle="1" w:styleId="90">
    <w:name w:val="正文文本缩进 2 字符"/>
    <w:basedOn w:val="65"/>
    <w:link w:val="35"/>
    <w:qFormat/>
    <w:uiPriority w:val="0"/>
    <w:rPr>
      <w:rFonts w:ascii="宋体" w:hAnsi="宋体" w:cs="Times New Roman"/>
      <w:sz w:val="22"/>
    </w:rPr>
  </w:style>
  <w:style w:type="character" w:customStyle="1" w:styleId="91">
    <w:name w:val="批注框文本 字符"/>
    <w:basedOn w:val="65"/>
    <w:link w:val="36"/>
    <w:qFormat/>
    <w:uiPriority w:val="0"/>
    <w:rPr>
      <w:rFonts w:ascii="Calibri" w:hAnsi="Calibri" w:eastAsia="宋体" w:cs="Times New Roman"/>
      <w:sz w:val="18"/>
      <w:szCs w:val="20"/>
    </w:rPr>
  </w:style>
  <w:style w:type="character" w:customStyle="1" w:styleId="92">
    <w:name w:val="页脚 字符"/>
    <w:basedOn w:val="65"/>
    <w:link w:val="37"/>
    <w:qFormat/>
    <w:uiPriority w:val="99"/>
    <w:rPr>
      <w:sz w:val="18"/>
      <w:szCs w:val="18"/>
    </w:rPr>
  </w:style>
  <w:style w:type="character" w:customStyle="1" w:styleId="93">
    <w:name w:val="页眉 字符"/>
    <w:basedOn w:val="65"/>
    <w:link w:val="38"/>
    <w:qFormat/>
    <w:uiPriority w:val="99"/>
    <w:rPr>
      <w:sz w:val="18"/>
      <w:szCs w:val="18"/>
    </w:rPr>
  </w:style>
  <w:style w:type="character" w:customStyle="1" w:styleId="94">
    <w:name w:val="副标题 字符"/>
    <w:basedOn w:val="65"/>
    <w:link w:val="42"/>
    <w:qFormat/>
    <w:uiPriority w:val="99"/>
    <w:rPr>
      <w:rFonts w:ascii="Cambria" w:hAnsi="Cambria" w:eastAsia="宋体" w:cs="Times New Roman"/>
      <w:b/>
      <w:bCs/>
      <w:kern w:val="28"/>
      <w:sz w:val="32"/>
      <w:szCs w:val="32"/>
    </w:rPr>
  </w:style>
  <w:style w:type="character" w:customStyle="1" w:styleId="95">
    <w:name w:val="脚注文本 字符"/>
    <w:basedOn w:val="65"/>
    <w:link w:val="43"/>
    <w:qFormat/>
    <w:uiPriority w:val="0"/>
    <w:rPr>
      <w:rFonts w:ascii="Calibri" w:hAnsi="Calibri" w:eastAsia="宋体" w:cs="Times New Roman"/>
      <w:sz w:val="18"/>
      <w:szCs w:val="20"/>
    </w:rPr>
  </w:style>
  <w:style w:type="character" w:customStyle="1" w:styleId="96">
    <w:name w:val="正文文本缩进 3 字符"/>
    <w:basedOn w:val="65"/>
    <w:link w:val="46"/>
    <w:qFormat/>
    <w:uiPriority w:val="0"/>
    <w:rPr>
      <w:rFonts w:ascii="黑体" w:hAnsi="Calibri" w:eastAsia="黑体" w:cs="Times New Roman"/>
      <w:sz w:val="28"/>
      <w:szCs w:val="20"/>
    </w:rPr>
  </w:style>
  <w:style w:type="character" w:customStyle="1" w:styleId="97">
    <w:name w:val="正文文本 2 字符"/>
    <w:basedOn w:val="65"/>
    <w:link w:val="51"/>
    <w:qFormat/>
    <w:uiPriority w:val="0"/>
    <w:rPr>
      <w:rFonts w:ascii="Calibri" w:hAnsi="Calibri" w:eastAsia="宋体" w:cs="Times New Roman"/>
      <w:sz w:val="24"/>
      <w:szCs w:val="20"/>
    </w:rPr>
  </w:style>
  <w:style w:type="character" w:customStyle="1" w:styleId="98">
    <w:name w:val="HTML 预设格式 字符"/>
    <w:basedOn w:val="65"/>
    <w:link w:val="55"/>
    <w:qFormat/>
    <w:uiPriority w:val="0"/>
    <w:rPr>
      <w:rFonts w:ascii="Courier New" w:hAnsi="Courier New" w:eastAsia="宋体" w:cs="Times New Roman"/>
      <w:sz w:val="20"/>
      <w:szCs w:val="20"/>
    </w:rPr>
  </w:style>
  <w:style w:type="character" w:customStyle="1" w:styleId="99">
    <w:name w:val="标题 字符"/>
    <w:basedOn w:val="65"/>
    <w:link w:val="59"/>
    <w:qFormat/>
    <w:uiPriority w:val="0"/>
    <w:rPr>
      <w:rFonts w:ascii="Arial" w:hAnsi="Arial" w:eastAsia="宋体" w:cs="Times New Roman"/>
      <w:b/>
      <w:kern w:val="28"/>
      <w:sz w:val="36"/>
      <w:szCs w:val="20"/>
      <w:lang w:eastAsia="en-US"/>
    </w:rPr>
  </w:style>
  <w:style w:type="character" w:customStyle="1" w:styleId="100">
    <w:name w:val="批注主题 字符"/>
    <w:basedOn w:val="85"/>
    <w:link w:val="60"/>
    <w:qFormat/>
    <w:uiPriority w:val="0"/>
    <w:rPr>
      <w:rFonts w:ascii="Calibri" w:hAnsi="Calibri" w:eastAsia="宋体" w:cs="Times New Roman"/>
      <w:kern w:val="0"/>
      <w:sz w:val="24"/>
      <w:szCs w:val="20"/>
    </w:rPr>
  </w:style>
  <w:style w:type="character" w:customStyle="1" w:styleId="101">
    <w:name w:val="正文文本首行缩进 字符"/>
    <w:basedOn w:val="74"/>
    <w:link w:val="61"/>
    <w:qFormat/>
    <w:uiPriority w:val="0"/>
    <w:rPr>
      <w:rFonts w:ascii="宋体" w:hAnsi="宋体" w:eastAsia="宋体" w:cs="Times New Roman"/>
      <w:sz w:val="24"/>
      <w:szCs w:val="20"/>
    </w:rPr>
  </w:style>
  <w:style w:type="character" w:customStyle="1" w:styleId="102">
    <w:name w:val="正文文本首行缩进 2 字符"/>
    <w:basedOn w:val="87"/>
    <w:link w:val="62"/>
    <w:qFormat/>
    <w:uiPriority w:val="0"/>
    <w:rPr>
      <w:rFonts w:ascii="Calibri" w:hAnsi="Calibri" w:eastAsia="宋体" w:cs="Times New Roman"/>
      <w:sz w:val="44"/>
      <w:szCs w:val="20"/>
    </w:rPr>
  </w:style>
  <w:style w:type="paragraph" w:customStyle="1" w:styleId="103">
    <w:name w:val="图表目录1"/>
    <w:basedOn w:val="104"/>
    <w:next w:val="1"/>
    <w:qFormat/>
    <w:uiPriority w:val="0"/>
    <w:pPr>
      <w:ind w:left="200" w:leftChars="200" w:hanging="200" w:hangingChars="200"/>
    </w:pPr>
  </w:style>
  <w:style w:type="paragraph" w:customStyle="1" w:styleId="104">
    <w:name w:val="Normal New"/>
    <w:qFormat/>
    <w:uiPriority w:val="0"/>
    <w:pPr>
      <w:widowControl w:val="0"/>
      <w:jc w:val="both"/>
    </w:pPr>
    <w:rPr>
      <w:rFonts w:hint="eastAsia" w:ascii="Calibri" w:hAnsi="Calibri" w:eastAsia="宋体" w:cs="Times New Roman"/>
      <w:kern w:val="2"/>
      <w:sz w:val="21"/>
      <w:szCs w:val="22"/>
      <w:lang w:val="en-US" w:eastAsia="zh-CN" w:bidi="ar-SA"/>
    </w:rPr>
  </w:style>
  <w:style w:type="paragraph" w:styleId="105">
    <w:name w:val="List Paragraph"/>
    <w:basedOn w:val="1"/>
    <w:qFormat/>
    <w:uiPriority w:val="0"/>
    <w:pPr>
      <w:ind w:firstLine="420" w:firstLineChars="200"/>
    </w:pPr>
  </w:style>
  <w:style w:type="paragraph" w:customStyle="1" w:styleId="106">
    <w:name w:val="1"/>
    <w:basedOn w:val="1"/>
    <w:qFormat/>
    <w:uiPriority w:val="0"/>
    <w:rPr>
      <w:rFonts w:ascii="宋体" w:hAnsi="Courier New"/>
      <w:sz w:val="21"/>
    </w:rPr>
  </w:style>
  <w:style w:type="paragraph" w:customStyle="1" w:styleId="107">
    <w:name w:val="Default"/>
    <w:next w:val="108"/>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08">
    <w:name w:val="明显引用1"/>
    <w:basedOn w:val="1"/>
    <w:next w:val="1"/>
    <w:qFormat/>
    <w:uiPriority w:val="30"/>
    <w:pPr>
      <w:widowControl/>
      <w:pBdr>
        <w:top w:val="single" w:color="404040" w:sz="4" w:space="10"/>
        <w:bottom w:val="single" w:color="404040" w:sz="4" w:space="10"/>
      </w:pBdr>
      <w:spacing w:before="360" w:after="360" w:line="259" w:lineRule="auto"/>
      <w:ind w:left="864" w:right="864"/>
      <w:jc w:val="center"/>
    </w:pPr>
    <w:rPr>
      <w:rFonts w:ascii="Calibri" w:hAnsi="Calibri"/>
      <w:i/>
      <w:iCs/>
      <w:color w:val="404040"/>
      <w:kern w:val="0"/>
      <w:sz w:val="22"/>
      <w:szCs w:val="22"/>
    </w:rPr>
  </w:style>
  <w:style w:type="paragraph" w:customStyle="1" w:styleId="109">
    <w:name w:val="无间隔1"/>
    <w:qFormat/>
    <w:uiPriority w:val="1"/>
    <w:pPr>
      <w:jc w:val="both"/>
    </w:pPr>
    <w:rPr>
      <w:rFonts w:ascii="Calibri" w:hAnsi="Calibri" w:eastAsia="Times New Roman" w:cs="Times New Roman"/>
      <w:lang w:val="en-US" w:eastAsia="zh-CN" w:bidi="ar-SA"/>
    </w:rPr>
  </w:style>
  <w:style w:type="paragraph" w:customStyle="1" w:styleId="110">
    <w:name w:val="标书正文1"/>
    <w:basedOn w:val="1"/>
    <w:qFormat/>
    <w:uiPriority w:val="0"/>
    <w:pPr>
      <w:spacing w:line="520" w:lineRule="exact"/>
      <w:ind w:firstLine="640" w:firstLineChars="200"/>
      <w:jc w:val="both"/>
    </w:pPr>
    <w:rPr>
      <w:rFonts w:ascii="Times New Roman" w:hAnsi="Times New Roman" w:eastAsia="宋体"/>
      <w:sz w:val="28"/>
      <w:szCs w:val="20"/>
    </w:rPr>
  </w:style>
  <w:style w:type="paragraph" w:customStyle="1" w:styleId="111">
    <w:name w:val="目录 53"/>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112">
    <w:name w:val="Char Char7"/>
    <w:qFormat/>
    <w:uiPriority w:val="0"/>
    <w:rPr>
      <w:rFonts w:ascii="宋体" w:hAnsi="宋体" w:eastAsia="宋体"/>
      <w:kern w:val="2"/>
      <w:sz w:val="28"/>
    </w:rPr>
  </w:style>
  <w:style w:type="character" w:customStyle="1" w:styleId="113">
    <w:name w:val="font91"/>
    <w:qFormat/>
    <w:uiPriority w:val="0"/>
    <w:rPr>
      <w:rFonts w:hint="eastAsia" w:ascii="宋体" w:hAnsi="宋体" w:eastAsia="宋体" w:cs="宋体"/>
      <w:color w:val="000000"/>
      <w:sz w:val="20"/>
      <w:szCs w:val="20"/>
      <w:u w:val="none"/>
    </w:rPr>
  </w:style>
  <w:style w:type="character" w:customStyle="1" w:styleId="114">
    <w:name w:val="未命名11"/>
    <w:qFormat/>
    <w:uiPriority w:val="0"/>
    <w:rPr>
      <w:color w:val="77FFFF"/>
      <w:sz w:val="24"/>
    </w:rPr>
  </w:style>
  <w:style w:type="character" w:customStyle="1" w:styleId="115">
    <w:name w:val="font51"/>
    <w:qFormat/>
    <w:uiPriority w:val="0"/>
    <w:rPr>
      <w:rFonts w:hint="eastAsia" w:ascii="宋体" w:hAnsi="宋体" w:eastAsia="宋体" w:cs="宋体"/>
      <w:color w:val="000000"/>
      <w:sz w:val="20"/>
      <w:szCs w:val="20"/>
      <w:u w:val="none"/>
      <w:vertAlign w:val="superscript"/>
    </w:rPr>
  </w:style>
  <w:style w:type="character" w:customStyle="1" w:styleId="116">
    <w:name w:val="content-white1"/>
    <w:qFormat/>
    <w:uiPriority w:val="0"/>
    <w:rPr>
      <w:color w:val="auto"/>
      <w:sz w:val="18"/>
      <w:u w:val="none"/>
    </w:rPr>
  </w:style>
  <w:style w:type="character" w:customStyle="1" w:styleId="117">
    <w:name w:val="Char Char11"/>
    <w:qFormat/>
    <w:uiPriority w:val="0"/>
    <w:rPr>
      <w:rFonts w:ascii="宋体"/>
      <w:kern w:val="2"/>
      <w:sz w:val="28"/>
    </w:rPr>
  </w:style>
  <w:style w:type="character" w:customStyle="1" w:styleId="118">
    <w:name w:val="font41"/>
    <w:qFormat/>
    <w:uiPriority w:val="0"/>
    <w:rPr>
      <w:rFonts w:hint="eastAsia" w:ascii="宋体" w:hAnsi="宋体" w:eastAsia="宋体" w:cs="宋体"/>
      <w:color w:val="000000"/>
      <w:sz w:val="20"/>
      <w:szCs w:val="20"/>
      <w:u w:val="none"/>
    </w:rPr>
  </w:style>
  <w:style w:type="character" w:customStyle="1" w:styleId="119">
    <w:name w:val="Table Text Char"/>
    <w:link w:val="120"/>
    <w:qFormat/>
    <w:uiPriority w:val="0"/>
    <w:rPr>
      <w:rFonts w:ascii="Arial" w:hAnsi="Arial"/>
      <w:sz w:val="18"/>
    </w:rPr>
  </w:style>
  <w:style w:type="paragraph" w:customStyle="1" w:styleId="120">
    <w:name w:val="Table Text"/>
    <w:link w:val="119"/>
    <w:qFormat/>
    <w:uiPriority w:val="0"/>
    <w:pPr>
      <w:snapToGrid w:val="0"/>
      <w:spacing w:before="80" w:after="80"/>
    </w:pPr>
    <w:rPr>
      <w:rFonts w:ascii="Arial" w:hAnsi="Arial" w:eastAsia="宋体" w:cs="Times New Roman"/>
      <w:kern w:val="2"/>
      <w:sz w:val="18"/>
      <w:szCs w:val="22"/>
      <w:lang w:val="en-US" w:eastAsia="zh-CN" w:bidi="ar-SA"/>
    </w:rPr>
  </w:style>
  <w:style w:type="character" w:customStyle="1" w:styleId="121">
    <w:name w:val="v151"/>
    <w:qFormat/>
    <w:uiPriority w:val="0"/>
    <w:rPr>
      <w:sz w:val="18"/>
    </w:rPr>
  </w:style>
  <w:style w:type="character" w:customStyle="1" w:styleId="122">
    <w:name w:val="样式 宋体"/>
    <w:qFormat/>
    <w:uiPriority w:val="0"/>
    <w:rPr>
      <w:rFonts w:ascii="宋体" w:hAnsi="宋体" w:eastAsia="宋体"/>
      <w:sz w:val="28"/>
    </w:rPr>
  </w:style>
  <w:style w:type="character" w:customStyle="1" w:styleId="123">
    <w:name w:val="title_emph1"/>
    <w:qFormat/>
    <w:uiPriority w:val="0"/>
    <w:rPr>
      <w:rFonts w:hint="default" w:ascii="Arial" w:hAnsi="Arial"/>
      <w:b/>
      <w:sz w:val="20"/>
    </w:rPr>
  </w:style>
  <w:style w:type="character" w:customStyle="1" w:styleId="124">
    <w:name w:val="Char Char"/>
    <w:qFormat/>
    <w:uiPriority w:val="0"/>
    <w:rPr>
      <w:rFonts w:ascii="宋体" w:hAnsi="宋体" w:eastAsia="宋体"/>
      <w:kern w:val="2"/>
      <w:sz w:val="24"/>
      <w:lang w:val="en-US" w:eastAsia="zh-CN" w:bidi="ar-SA"/>
    </w:rPr>
  </w:style>
  <w:style w:type="character" w:customStyle="1" w:styleId="125">
    <w:name w:val="Table Heading Char Char"/>
    <w:qFormat/>
    <w:uiPriority w:val="0"/>
    <w:rPr>
      <w:rFonts w:ascii="Arial" w:hAnsi="Arial" w:eastAsia="黑体"/>
      <w:kern w:val="2"/>
      <w:sz w:val="18"/>
      <w:lang w:val="en-US" w:eastAsia="zh-CN"/>
    </w:rPr>
  </w:style>
  <w:style w:type="character" w:customStyle="1" w:styleId="126">
    <w:name w:val="正文 + 三号 Char"/>
    <w:qFormat/>
    <w:uiPriority w:val="0"/>
    <w:rPr>
      <w:rFonts w:eastAsia="宋体"/>
      <w:kern w:val="2"/>
      <w:sz w:val="21"/>
      <w:lang w:val="en-US" w:eastAsia="zh-CN"/>
    </w:rPr>
  </w:style>
  <w:style w:type="character" w:customStyle="1" w:styleId="127">
    <w:name w:val="Char Char5"/>
    <w:qFormat/>
    <w:uiPriority w:val="0"/>
    <w:rPr>
      <w:rFonts w:ascii="Arial" w:hAnsi="Arial" w:eastAsia="宋体"/>
      <w:b/>
      <w:kern w:val="28"/>
      <w:sz w:val="36"/>
      <w:lang w:val="en-US" w:eastAsia="en-US"/>
    </w:rPr>
  </w:style>
  <w:style w:type="character" w:customStyle="1" w:styleId="128">
    <w:name w:val="Table Text Char Char Char Char"/>
    <w:link w:val="129"/>
    <w:qFormat/>
    <w:uiPriority w:val="0"/>
    <w:rPr>
      <w:rFonts w:ascii="Arial" w:hAnsi="Arial"/>
      <w:sz w:val="18"/>
    </w:rPr>
  </w:style>
  <w:style w:type="paragraph" w:customStyle="1" w:styleId="129">
    <w:name w:val="Table Text Char Char Char"/>
    <w:link w:val="128"/>
    <w:qFormat/>
    <w:uiPriority w:val="0"/>
    <w:pPr>
      <w:snapToGrid w:val="0"/>
      <w:spacing w:before="80" w:after="80"/>
    </w:pPr>
    <w:rPr>
      <w:rFonts w:ascii="Arial" w:hAnsi="Arial" w:eastAsia="宋体" w:cs="Times New Roman"/>
      <w:kern w:val="2"/>
      <w:sz w:val="18"/>
      <w:szCs w:val="22"/>
      <w:lang w:val="en-US" w:eastAsia="zh-CN" w:bidi="ar-SA"/>
    </w:rPr>
  </w:style>
  <w:style w:type="character" w:customStyle="1" w:styleId="130">
    <w:name w:val="font01"/>
    <w:qFormat/>
    <w:uiPriority w:val="0"/>
    <w:rPr>
      <w:rFonts w:hint="default" w:ascii="Times New Roman" w:hAnsi="Times New Roman" w:cs="Times New Roman"/>
      <w:color w:val="000000"/>
      <w:sz w:val="20"/>
      <w:szCs w:val="20"/>
      <w:u w:val="none"/>
    </w:rPr>
  </w:style>
  <w:style w:type="character" w:customStyle="1" w:styleId="131">
    <w:name w:val="font101"/>
    <w:qFormat/>
    <w:uiPriority w:val="0"/>
    <w:rPr>
      <w:rFonts w:hint="default" w:ascii="Times New Roman" w:hAnsi="Times New Roman" w:cs="Times New Roman"/>
      <w:color w:val="000000"/>
      <w:sz w:val="20"/>
      <w:szCs w:val="20"/>
      <w:u w:val="none"/>
    </w:rPr>
  </w:style>
  <w:style w:type="character" w:customStyle="1" w:styleId="132">
    <w:name w:val="Table Text Char1 Char"/>
    <w:qFormat/>
    <w:uiPriority w:val="0"/>
    <w:rPr>
      <w:rFonts w:ascii="Arial" w:hAnsi="Arial"/>
      <w:kern w:val="2"/>
      <w:sz w:val="18"/>
      <w:lang w:val="en-US" w:eastAsia="zh-CN" w:bidi="ar-SA"/>
    </w:rPr>
  </w:style>
  <w:style w:type="character" w:customStyle="1" w:styleId="133">
    <w:name w:val="Char Char2"/>
    <w:qFormat/>
    <w:uiPriority w:val="0"/>
    <w:rPr>
      <w:rFonts w:eastAsia="宋体"/>
      <w:kern w:val="2"/>
      <w:sz w:val="18"/>
      <w:lang w:val="en-US" w:eastAsia="zh-CN"/>
    </w:rPr>
  </w:style>
  <w:style w:type="character" w:customStyle="1" w:styleId="134">
    <w:name w:val="font31"/>
    <w:qFormat/>
    <w:uiPriority w:val="0"/>
    <w:rPr>
      <w:rFonts w:hint="eastAsia" w:ascii="宋体" w:hAnsi="宋体" w:eastAsia="宋体" w:cs="宋体"/>
      <w:b/>
      <w:color w:val="000000"/>
      <w:sz w:val="20"/>
      <w:szCs w:val="20"/>
      <w:u w:val="none"/>
    </w:rPr>
  </w:style>
  <w:style w:type="character" w:customStyle="1" w:styleId="135">
    <w:name w:val="文字 Char"/>
    <w:link w:val="136"/>
    <w:qFormat/>
    <w:uiPriority w:val="0"/>
    <w:rPr>
      <w:rFonts w:ascii="宋体"/>
      <w:sz w:val="28"/>
    </w:rPr>
  </w:style>
  <w:style w:type="paragraph" w:customStyle="1" w:styleId="136">
    <w:name w:val="文字"/>
    <w:basedOn w:val="1"/>
    <w:link w:val="135"/>
    <w:qFormat/>
    <w:uiPriority w:val="0"/>
    <w:pPr>
      <w:tabs>
        <w:tab w:val="left" w:pos="8520"/>
      </w:tabs>
      <w:spacing w:line="312" w:lineRule="auto"/>
      <w:ind w:right="-210" w:firstLine="556"/>
      <w:jc w:val="both"/>
    </w:pPr>
    <w:rPr>
      <w:rFonts w:ascii="宋体" w:hAnsi="Calibri" w:eastAsia="宋体" w:cs="Times New Roman"/>
      <w:sz w:val="28"/>
      <w:szCs w:val="22"/>
    </w:rPr>
  </w:style>
  <w:style w:type="character" w:customStyle="1" w:styleId="137">
    <w:name w:val="Char Char6"/>
    <w:qFormat/>
    <w:uiPriority w:val="0"/>
    <w:rPr>
      <w:rFonts w:ascii="仿宋_GB2312" w:eastAsia="仿宋_GB2312"/>
      <w:kern w:val="2"/>
      <w:sz w:val="32"/>
    </w:rPr>
  </w:style>
  <w:style w:type="character" w:customStyle="1" w:styleId="138">
    <w:name w:val="Char Char3"/>
    <w:qFormat/>
    <w:uiPriority w:val="0"/>
    <w:rPr>
      <w:rFonts w:eastAsia="宋体"/>
      <w:kern w:val="2"/>
      <w:sz w:val="18"/>
      <w:lang w:val="en-US" w:eastAsia="zh-CN"/>
    </w:rPr>
  </w:style>
  <w:style w:type="character" w:customStyle="1" w:styleId="139">
    <w:name w:val="标书正文:  0.74 厘米 Char1"/>
    <w:qFormat/>
    <w:uiPriority w:val="0"/>
    <w:rPr>
      <w:rFonts w:eastAsia="宋体"/>
      <w:kern w:val="2"/>
      <w:sz w:val="24"/>
      <w:lang w:val="en-US" w:eastAsia="zh-CN"/>
    </w:rPr>
  </w:style>
  <w:style w:type="character" w:customStyle="1" w:styleId="140">
    <w:name w:val="font1"/>
    <w:qFormat/>
    <w:uiPriority w:val="0"/>
    <w:rPr>
      <w:color w:val="000000"/>
      <w:sz w:val="18"/>
    </w:rPr>
  </w:style>
  <w:style w:type="character" w:customStyle="1" w:styleId="141">
    <w:name w:val="Char Char4"/>
    <w:qFormat/>
    <w:uiPriority w:val="0"/>
    <w:rPr>
      <w:rFonts w:eastAsia="宋体"/>
      <w:b/>
      <w:kern w:val="2"/>
      <w:sz w:val="21"/>
      <w:lang w:val="en-US" w:eastAsia="zh-CN"/>
    </w:rPr>
  </w:style>
  <w:style w:type="character" w:customStyle="1" w:styleId="142">
    <w:name w:val="top-det1"/>
    <w:qFormat/>
    <w:uiPriority w:val="0"/>
    <w:rPr>
      <w:b/>
      <w:color w:val="000000"/>
    </w:rPr>
  </w:style>
  <w:style w:type="character" w:customStyle="1" w:styleId="143">
    <w:name w:val="crowed11"/>
    <w:qFormat/>
    <w:uiPriority w:val="0"/>
    <w:rPr>
      <w:rFonts w:hint="default"/>
      <w:sz w:val="24"/>
    </w:rPr>
  </w:style>
  <w:style w:type="character" w:customStyle="1" w:styleId="144">
    <w:name w:val="H2 Char"/>
    <w:qFormat/>
    <w:uiPriority w:val="0"/>
    <w:rPr>
      <w:rFonts w:ascii="Arial" w:hAnsi="Arial" w:eastAsia="宋体"/>
      <w:kern w:val="2"/>
      <w:sz w:val="28"/>
      <w:lang w:val="en-US" w:eastAsia="zh-CN"/>
    </w:rPr>
  </w:style>
  <w:style w:type="character" w:customStyle="1" w:styleId="145">
    <w:name w:val="小 Char"/>
    <w:qFormat/>
    <w:uiPriority w:val="0"/>
    <w:rPr>
      <w:rFonts w:ascii="宋体" w:hAnsi="Courier New" w:eastAsia="宋体"/>
      <w:kern w:val="2"/>
      <w:sz w:val="21"/>
      <w:lang w:val="en-US" w:eastAsia="zh-CN" w:bidi="ar-SA"/>
    </w:rPr>
  </w:style>
  <w:style w:type="character" w:customStyle="1" w:styleId="146">
    <w:name w:val="font11"/>
    <w:qFormat/>
    <w:uiPriority w:val="0"/>
    <w:rPr>
      <w:rFonts w:hint="eastAsia" w:ascii="宋体" w:hAnsi="宋体" w:eastAsia="宋体" w:cs="宋体"/>
      <w:color w:val="000000"/>
      <w:sz w:val="20"/>
      <w:szCs w:val="20"/>
      <w:u w:val="none"/>
      <w:vertAlign w:val="superscript"/>
    </w:rPr>
  </w:style>
  <w:style w:type="paragraph" w:customStyle="1" w:styleId="147">
    <w:name w:val="样式 正文缩进正文（首行缩进两字）表正文正文非缩进特点标题4段1 + 首行缩进:  2 字符"/>
    <w:basedOn w:val="17"/>
    <w:qFormat/>
    <w:uiPriority w:val="0"/>
    <w:pPr>
      <w:ind w:firstLine="480" w:firstLineChars="200"/>
      <w:jc w:val="both"/>
    </w:pPr>
    <w:rPr>
      <w:rFonts w:ascii="Calibri" w:hAnsi="Calibri" w:eastAsia="宋体"/>
      <w:szCs w:val="20"/>
    </w:rPr>
  </w:style>
  <w:style w:type="paragraph" w:customStyle="1" w:styleId="148">
    <w:name w:val="xl5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kern w:val="0"/>
      <w:szCs w:val="20"/>
    </w:rPr>
  </w:style>
  <w:style w:type="paragraph" w:customStyle="1" w:styleId="149">
    <w:name w:val="修订1"/>
    <w:qFormat/>
    <w:uiPriority w:val="0"/>
    <w:rPr>
      <w:rFonts w:ascii="Calibri" w:hAnsi="Calibri" w:eastAsia="宋体" w:cs="Times New Roman"/>
      <w:kern w:val="2"/>
      <w:sz w:val="21"/>
      <w:lang w:val="en-US" w:eastAsia="zh-CN" w:bidi="ar-SA"/>
    </w:rPr>
  </w:style>
  <w:style w:type="paragraph" w:customStyle="1" w:styleId="150">
    <w:name w:val="正文（首行不缩进）"/>
    <w:basedOn w:val="1"/>
    <w:qFormat/>
    <w:uiPriority w:val="0"/>
    <w:pPr>
      <w:autoSpaceDE w:val="0"/>
      <w:autoSpaceDN w:val="0"/>
      <w:adjustRightInd w:val="0"/>
      <w:spacing w:line="360" w:lineRule="auto"/>
    </w:pPr>
    <w:rPr>
      <w:rFonts w:ascii="Calibri" w:hAnsi="Calibri" w:eastAsia="宋体"/>
      <w:kern w:val="0"/>
      <w:sz w:val="21"/>
      <w:szCs w:val="20"/>
    </w:rPr>
  </w:style>
  <w:style w:type="paragraph" w:customStyle="1" w:styleId="151">
    <w:name w:val="content"/>
    <w:basedOn w:val="1"/>
    <w:qFormat/>
    <w:uiPriority w:val="0"/>
    <w:pPr>
      <w:widowControl/>
      <w:spacing w:before="100" w:beforeAutospacing="1" w:after="100" w:afterAutospacing="1" w:line="280" w:lineRule="atLeast"/>
      <w:ind w:firstLine="375"/>
    </w:pPr>
    <w:rPr>
      <w:rFonts w:ascii="宋体" w:hAnsi="宋体" w:eastAsia="宋体"/>
      <w:color w:val="000000"/>
      <w:kern w:val="0"/>
      <w:sz w:val="18"/>
      <w:szCs w:val="20"/>
    </w:rPr>
  </w:style>
  <w:style w:type="paragraph" w:customStyle="1" w:styleId="152">
    <w:name w:val="操作步骤"/>
    <w:basedOn w:val="1"/>
    <w:qFormat/>
    <w:uiPriority w:val="0"/>
    <w:pPr>
      <w:numPr>
        <w:ilvl w:val="0"/>
        <w:numId w:val="3"/>
      </w:numPr>
      <w:autoSpaceDE w:val="0"/>
      <w:autoSpaceDN w:val="0"/>
      <w:adjustRightInd w:val="0"/>
      <w:snapToGrid w:val="0"/>
      <w:spacing w:line="40" w:lineRule="atLeast"/>
      <w:jc w:val="both"/>
    </w:pPr>
    <w:rPr>
      <w:rFonts w:ascii="昆仑楷体" w:hAnsi="Calibri" w:eastAsia="楷体_GB2312"/>
      <w:kern w:val="0"/>
      <w:sz w:val="21"/>
      <w:szCs w:val="20"/>
    </w:rPr>
  </w:style>
  <w:style w:type="paragraph" w:customStyle="1" w:styleId="153">
    <w:name w:val="Table Paragraph"/>
    <w:basedOn w:val="1"/>
    <w:qFormat/>
    <w:uiPriority w:val="1"/>
    <w:pPr>
      <w:autoSpaceDE w:val="0"/>
      <w:autoSpaceDN w:val="0"/>
      <w:adjustRightInd w:val="0"/>
      <w:jc w:val="both"/>
    </w:pPr>
    <w:rPr>
      <w:rFonts w:ascii="Calibri" w:hAnsi="Calibri" w:eastAsia="宋体"/>
      <w:szCs w:val="20"/>
    </w:rPr>
  </w:style>
  <w:style w:type="paragraph" w:customStyle="1" w:styleId="154">
    <w:name w:val="正文格式 Char"/>
    <w:basedOn w:val="1"/>
    <w:qFormat/>
    <w:uiPriority w:val="0"/>
    <w:pPr>
      <w:widowControl/>
      <w:adjustRightInd w:val="0"/>
      <w:spacing w:line="440" w:lineRule="atLeast"/>
      <w:ind w:firstLine="510"/>
      <w:jc w:val="both"/>
    </w:pPr>
    <w:rPr>
      <w:rFonts w:ascii="Calibri" w:hAnsi="Calibri" w:eastAsia="宋体"/>
      <w:kern w:val="0"/>
      <w:szCs w:val="20"/>
    </w:rPr>
  </w:style>
  <w:style w:type="paragraph" w:customStyle="1" w:styleId="155">
    <w:name w:val="样式5"/>
    <w:basedOn w:val="156"/>
    <w:qFormat/>
    <w:uiPriority w:val="0"/>
  </w:style>
  <w:style w:type="paragraph" w:customStyle="1" w:styleId="156">
    <w:name w:val="编号正文"/>
    <w:basedOn w:val="157"/>
    <w:qFormat/>
    <w:uiPriority w:val="0"/>
    <w:pPr>
      <w:snapToGrid/>
      <w:spacing w:line="360" w:lineRule="auto"/>
      <w:ind w:left="1407" w:hanging="1047"/>
      <w:jc w:val="left"/>
    </w:pPr>
    <w:rPr>
      <w:rFonts w:eastAsia="仿宋_GB2312"/>
    </w:rPr>
  </w:style>
  <w:style w:type="paragraph" w:customStyle="1" w:styleId="157">
    <w:name w:val="文档正文"/>
    <w:basedOn w:val="1"/>
    <w:qFormat/>
    <w:uiPriority w:val="0"/>
    <w:pPr>
      <w:adjustRightInd w:val="0"/>
      <w:snapToGrid w:val="0"/>
      <w:spacing w:line="440" w:lineRule="exact"/>
      <w:ind w:firstLine="567"/>
      <w:jc w:val="both"/>
    </w:pPr>
    <w:rPr>
      <w:rFonts w:ascii="Arial Narrow" w:hAnsi="Arial Narrow" w:eastAsia="宋体"/>
      <w:kern w:val="0"/>
      <w:szCs w:val="20"/>
    </w:rPr>
  </w:style>
  <w:style w:type="paragraph" w:customStyle="1" w:styleId="158">
    <w:name w:val="样式10"/>
    <w:basedOn w:val="1"/>
    <w:qFormat/>
    <w:uiPriority w:val="0"/>
    <w:pPr>
      <w:jc w:val="both"/>
    </w:pPr>
    <w:rPr>
      <w:rFonts w:ascii="Times New Roman" w:hAnsi="Times New Roman" w:eastAsia="仿宋"/>
      <w:szCs w:val="20"/>
    </w:rPr>
  </w:style>
  <w:style w:type="paragraph" w:customStyle="1" w:styleId="15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0">
    <w:name w:val="Char Char1 Char"/>
    <w:basedOn w:val="1"/>
    <w:qFormat/>
    <w:uiPriority w:val="0"/>
    <w:pPr>
      <w:jc w:val="both"/>
    </w:pPr>
    <w:rPr>
      <w:rFonts w:ascii="Tahoma" w:hAnsi="Tahoma" w:eastAsia="宋体"/>
    </w:rPr>
  </w:style>
  <w:style w:type="paragraph" w:customStyle="1" w:styleId="161">
    <w:name w:val="样式1xz"/>
    <w:basedOn w:val="1"/>
    <w:qFormat/>
    <w:uiPriority w:val="0"/>
    <w:pPr>
      <w:tabs>
        <w:tab w:val="left" w:pos="1050"/>
        <w:tab w:val="right" w:leader="dot" w:pos="8296"/>
      </w:tabs>
      <w:jc w:val="both"/>
    </w:pPr>
    <w:rPr>
      <w:rFonts w:ascii="Calibri" w:hAnsi="Calibri" w:eastAsia="宋体"/>
      <w:caps/>
      <w:spacing w:val="20"/>
      <w:szCs w:val="20"/>
    </w:rPr>
  </w:style>
  <w:style w:type="paragraph" w:customStyle="1" w:styleId="162">
    <w:name w:val="_Style 19"/>
    <w:basedOn w:val="1"/>
    <w:qFormat/>
    <w:uiPriority w:val="0"/>
    <w:pPr>
      <w:ind w:firstLine="420" w:firstLineChars="200"/>
      <w:jc w:val="both"/>
    </w:pPr>
    <w:rPr>
      <w:rFonts w:ascii="Calibri" w:hAnsi="Calibri" w:eastAsia="宋体"/>
      <w:sz w:val="21"/>
      <w:szCs w:val="22"/>
    </w:rPr>
  </w:style>
  <w:style w:type="paragraph" w:customStyle="1" w:styleId="16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64">
    <w:name w:val="样式 宋体 五号 两端对齐 行距: 单倍行距"/>
    <w:basedOn w:val="1"/>
    <w:qFormat/>
    <w:uiPriority w:val="0"/>
    <w:pPr>
      <w:adjustRightInd w:val="0"/>
      <w:jc w:val="both"/>
    </w:pPr>
    <w:rPr>
      <w:rFonts w:ascii="宋体" w:hAnsi="宋体" w:eastAsia="宋体"/>
      <w:kern w:val="0"/>
      <w:sz w:val="21"/>
      <w:szCs w:val="20"/>
    </w:rPr>
  </w:style>
  <w:style w:type="paragraph" w:customStyle="1" w:styleId="165">
    <w:name w:val="普通正文"/>
    <w:basedOn w:val="1"/>
    <w:qFormat/>
    <w:uiPriority w:val="0"/>
    <w:pPr>
      <w:adjustRightInd w:val="0"/>
      <w:spacing w:before="120" w:after="120" w:line="360" w:lineRule="auto"/>
      <w:ind w:firstLine="480"/>
    </w:pPr>
    <w:rPr>
      <w:rFonts w:ascii="Arial" w:hAnsi="Arial" w:eastAsia="宋体"/>
      <w:kern w:val="0"/>
      <w:szCs w:val="20"/>
    </w:rPr>
  </w:style>
  <w:style w:type="paragraph" w:customStyle="1" w:styleId="166">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68">
    <w:name w:val="文档正文 Char Char Char Char"/>
    <w:basedOn w:val="1"/>
    <w:qFormat/>
    <w:uiPriority w:val="0"/>
    <w:pPr>
      <w:adjustRightInd w:val="0"/>
      <w:spacing w:line="440" w:lineRule="exact"/>
      <w:ind w:firstLine="420"/>
      <w:jc w:val="both"/>
    </w:pPr>
    <w:rPr>
      <w:rFonts w:ascii="Arial Narrow" w:hAnsi="Arial Narrow" w:eastAsia="宋体"/>
      <w:kern w:val="0"/>
      <w:szCs w:val="20"/>
    </w:rPr>
  </w:style>
  <w:style w:type="paragraph" w:customStyle="1" w:styleId="169">
    <w:name w:val="正文文本 21"/>
    <w:basedOn w:val="1"/>
    <w:qFormat/>
    <w:uiPriority w:val="0"/>
    <w:pPr>
      <w:adjustRightInd w:val="0"/>
      <w:spacing w:before="120" w:line="360" w:lineRule="auto"/>
      <w:ind w:firstLine="480"/>
      <w:jc w:val="both"/>
    </w:pPr>
    <w:rPr>
      <w:rFonts w:ascii="Calibri" w:hAnsi="Calibri" w:eastAsia="宋体"/>
      <w:szCs w:val="20"/>
    </w:rPr>
  </w:style>
  <w:style w:type="paragraph" w:customStyle="1" w:styleId="170">
    <w:name w:val="首行缩进"/>
    <w:basedOn w:val="1"/>
    <w:qFormat/>
    <w:uiPriority w:val="0"/>
    <w:pPr>
      <w:numPr>
        <w:ilvl w:val="0"/>
        <w:numId w:val="4"/>
      </w:numPr>
      <w:spacing w:line="360" w:lineRule="auto"/>
      <w:jc w:val="both"/>
    </w:pPr>
    <w:rPr>
      <w:rFonts w:ascii="Calibri" w:hAnsi="Calibri" w:eastAsia="仿宋_GB2312"/>
      <w:sz w:val="28"/>
      <w:szCs w:val="20"/>
    </w:rPr>
  </w:style>
  <w:style w:type="paragraph" w:customStyle="1" w:styleId="171">
    <w:name w:val="简单回函地址"/>
    <w:basedOn w:val="1"/>
    <w:qFormat/>
    <w:uiPriority w:val="0"/>
    <w:pPr>
      <w:adjustRightInd w:val="0"/>
      <w:snapToGrid w:val="0"/>
      <w:spacing w:line="360" w:lineRule="auto"/>
      <w:jc w:val="both"/>
    </w:pPr>
    <w:rPr>
      <w:rFonts w:ascii="Calibri" w:hAnsi="Calibri" w:eastAsia="宋体"/>
      <w:szCs w:val="20"/>
    </w:rPr>
  </w:style>
  <w:style w:type="paragraph" w:customStyle="1" w:styleId="172">
    <w:name w:val="二级列表"/>
    <w:basedOn w:val="173"/>
    <w:qFormat/>
    <w:uiPriority w:val="0"/>
    <w:pPr>
      <w:tabs>
        <w:tab w:val="left" w:pos="2120"/>
      </w:tabs>
      <w:ind w:firstLine="0" w:firstLineChars="0"/>
    </w:pPr>
    <w:rPr>
      <w:b/>
    </w:rPr>
  </w:style>
  <w:style w:type="paragraph" w:customStyle="1" w:styleId="173">
    <w:name w:val="段落正文"/>
    <w:basedOn w:val="1"/>
    <w:qFormat/>
    <w:uiPriority w:val="0"/>
    <w:pPr>
      <w:spacing w:beforeLines="50" w:line="360" w:lineRule="auto"/>
      <w:ind w:firstLine="200" w:firstLineChars="200"/>
      <w:jc w:val="both"/>
    </w:pPr>
    <w:rPr>
      <w:rFonts w:ascii="Calibri" w:hAnsi="Calibri" w:eastAsia="宋体"/>
      <w:spacing w:val="2"/>
      <w:szCs w:val="20"/>
    </w:rPr>
  </w:style>
  <w:style w:type="paragraph" w:customStyle="1" w:styleId="174">
    <w:name w:val="标题无"/>
    <w:basedOn w:val="1"/>
    <w:qFormat/>
    <w:uiPriority w:val="0"/>
    <w:pPr>
      <w:spacing w:line="360" w:lineRule="auto"/>
      <w:jc w:val="both"/>
    </w:pPr>
    <w:rPr>
      <w:rFonts w:ascii="Calibri" w:hAnsi="Calibri" w:eastAsia="宋体"/>
      <w:szCs w:val="20"/>
    </w:rPr>
  </w:style>
  <w:style w:type="paragraph" w:customStyle="1" w:styleId="175">
    <w:name w:val="没有缩进（为图形使用）"/>
    <w:basedOn w:val="1"/>
    <w:qFormat/>
    <w:uiPriority w:val="0"/>
    <w:pPr>
      <w:spacing w:before="120" w:after="120" w:line="360" w:lineRule="auto"/>
      <w:jc w:val="both"/>
    </w:pPr>
    <w:rPr>
      <w:rFonts w:ascii="Calibri" w:hAnsi="Calibri" w:eastAsia="宋体"/>
      <w:szCs w:val="20"/>
    </w:rPr>
  </w:style>
  <w:style w:type="paragraph" w:customStyle="1" w:styleId="176">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77">
    <w:name w:val="正文表格"/>
    <w:basedOn w:val="1"/>
    <w:qFormat/>
    <w:uiPriority w:val="0"/>
    <w:pPr>
      <w:adjustRightInd w:val="0"/>
      <w:spacing w:before="40" w:after="40"/>
      <w:jc w:val="both"/>
    </w:pPr>
    <w:rPr>
      <w:rFonts w:ascii="Calibri" w:hAnsi="Calibri" w:eastAsia="宋体"/>
      <w:szCs w:val="20"/>
    </w:rPr>
  </w:style>
  <w:style w:type="paragraph" w:customStyle="1" w:styleId="178">
    <w:name w:val="È±Ê¡ÎÄ±¾"/>
    <w:basedOn w:val="1"/>
    <w:qFormat/>
    <w:uiPriority w:val="0"/>
    <w:pPr>
      <w:widowControl/>
      <w:overflowPunct w:val="0"/>
      <w:autoSpaceDE w:val="0"/>
      <w:autoSpaceDN w:val="0"/>
      <w:adjustRightInd w:val="0"/>
    </w:pPr>
    <w:rPr>
      <w:rFonts w:ascii="Calibri" w:hAnsi="Calibri" w:eastAsia="宋体"/>
      <w:kern w:val="0"/>
      <w:szCs w:val="20"/>
    </w:rPr>
  </w:style>
  <w:style w:type="paragraph" w:customStyle="1" w:styleId="179">
    <w:name w:val="标书正文:  0.74 厘米"/>
    <w:basedOn w:val="1"/>
    <w:qFormat/>
    <w:uiPriority w:val="0"/>
    <w:pPr>
      <w:snapToGrid w:val="0"/>
      <w:spacing w:line="360" w:lineRule="auto"/>
      <w:ind w:firstLine="420"/>
      <w:jc w:val="both"/>
    </w:pPr>
    <w:rPr>
      <w:rFonts w:ascii="Calibri" w:hAnsi="Calibri" w:eastAsia="宋体"/>
      <w:szCs w:val="20"/>
    </w:rPr>
  </w:style>
  <w:style w:type="paragraph" w:customStyle="1" w:styleId="180">
    <w:name w:val="Title - Date"/>
    <w:basedOn w:val="59"/>
    <w:qFormat/>
    <w:uiPriority w:val="0"/>
    <w:pPr>
      <w:spacing w:before="240" w:after="720"/>
    </w:pPr>
    <w:rPr>
      <w:sz w:val="28"/>
    </w:rPr>
  </w:style>
  <w:style w:type="paragraph" w:customStyle="1" w:styleId="181">
    <w:name w:val="样式 标题 6第五层条 + 三号 段前: 0.5 行"/>
    <w:basedOn w:val="8"/>
    <w:qFormat/>
    <w:uiPriority w:val="0"/>
    <w:pPr>
      <w:widowControl/>
      <w:adjustRightInd/>
      <w:snapToGrid/>
      <w:spacing w:beforeLines="50"/>
      <w:jc w:val="left"/>
    </w:pPr>
    <w:rPr>
      <w:kern w:val="24"/>
      <w:sz w:val="28"/>
    </w:rPr>
  </w:style>
  <w:style w:type="paragraph" w:customStyle="1" w:styleId="182">
    <w:name w:val="样式11"/>
    <w:basedOn w:val="1"/>
    <w:qFormat/>
    <w:uiPriority w:val="0"/>
    <w:pPr>
      <w:jc w:val="both"/>
    </w:pPr>
    <w:rPr>
      <w:rFonts w:ascii="Times New Roman" w:hAnsi="Times New Roman" w:eastAsia="宋体"/>
      <w:sz w:val="28"/>
      <w:szCs w:val="20"/>
    </w:rPr>
  </w:style>
  <w:style w:type="paragraph" w:customStyle="1" w:styleId="183">
    <w:name w:val="Char Char14 Char Char"/>
    <w:basedOn w:val="1"/>
    <w:qFormat/>
    <w:uiPriority w:val="0"/>
    <w:pPr>
      <w:jc w:val="both"/>
    </w:pPr>
    <w:rPr>
      <w:rFonts w:ascii="Calibri" w:hAnsi="Calibri" w:eastAsia="宋体"/>
      <w:sz w:val="21"/>
    </w:rPr>
  </w:style>
  <w:style w:type="paragraph" w:customStyle="1" w:styleId="184">
    <w:name w:val="正文1"/>
    <w:basedOn w:val="1"/>
    <w:qFormat/>
    <w:uiPriority w:val="0"/>
    <w:pPr>
      <w:spacing w:line="300" w:lineRule="auto"/>
      <w:ind w:firstLine="200" w:firstLineChars="200"/>
      <w:jc w:val="both"/>
    </w:pPr>
    <w:rPr>
      <w:rFonts w:ascii="Calibri" w:hAnsi="Calibri" w:eastAsia="宋体"/>
      <w:szCs w:val="20"/>
    </w:rPr>
  </w:style>
  <w:style w:type="paragraph" w:customStyle="1" w:styleId="185">
    <w:name w:val="表头文本"/>
    <w:qFormat/>
    <w:uiPriority w:val="0"/>
    <w:pPr>
      <w:jc w:val="center"/>
    </w:pPr>
    <w:rPr>
      <w:rFonts w:ascii="Arial" w:hAnsi="Arial" w:eastAsia="宋体" w:cs="Times New Roman"/>
      <w:b/>
      <w:sz w:val="21"/>
      <w:lang w:val="en-US" w:eastAsia="zh-CN" w:bidi="ar-SA"/>
    </w:rPr>
  </w:style>
  <w:style w:type="paragraph" w:customStyle="1" w:styleId="186">
    <w:name w:val="Char Char Char Char Char Char Char"/>
    <w:basedOn w:val="1"/>
    <w:qFormat/>
    <w:uiPriority w:val="0"/>
    <w:pPr>
      <w:jc w:val="both"/>
    </w:pPr>
    <w:rPr>
      <w:rFonts w:ascii="Tahoma" w:hAnsi="Tahoma" w:eastAsia="宋体"/>
      <w:szCs w:val="20"/>
    </w:rPr>
  </w:style>
  <w:style w:type="paragraph" w:customStyle="1" w:styleId="187">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kern w:val="0"/>
      <w:szCs w:val="20"/>
    </w:rPr>
  </w:style>
  <w:style w:type="paragraph" w:customStyle="1" w:styleId="18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eastAsia="宋体"/>
      <w:kern w:val="0"/>
      <w:sz w:val="21"/>
      <w:szCs w:val="20"/>
    </w:rPr>
  </w:style>
  <w:style w:type="paragraph" w:customStyle="1" w:styleId="189">
    <w:name w:val="Char Char Char1 Char Char Char Char Char Char Char Char Char Char Char Char Char"/>
    <w:basedOn w:val="1"/>
    <w:qFormat/>
    <w:uiPriority w:val="0"/>
    <w:pPr>
      <w:widowControl/>
      <w:spacing w:after="160" w:line="240" w:lineRule="exact"/>
    </w:pPr>
    <w:rPr>
      <w:rFonts w:ascii="Verdana" w:hAnsi="Verdana" w:eastAsia="宋体"/>
      <w:kern w:val="0"/>
      <w:sz w:val="18"/>
      <w:szCs w:val="20"/>
      <w:lang w:eastAsia="en-US"/>
    </w:rPr>
  </w:style>
  <w:style w:type="paragraph" w:customStyle="1" w:styleId="190">
    <w:name w:val="正文文本缩进 21"/>
    <w:basedOn w:val="1"/>
    <w:qFormat/>
    <w:uiPriority w:val="0"/>
    <w:pPr>
      <w:adjustRightInd w:val="0"/>
      <w:spacing w:before="120"/>
      <w:ind w:firstLine="420"/>
      <w:jc w:val="both"/>
    </w:pPr>
    <w:rPr>
      <w:rFonts w:ascii="Calibri" w:hAnsi="Calibri" w:eastAsia="宋体"/>
      <w:szCs w:val="20"/>
    </w:rPr>
  </w:style>
  <w:style w:type="paragraph" w:customStyle="1" w:styleId="191">
    <w:name w:val="tabletext"/>
    <w:basedOn w:val="1"/>
    <w:qFormat/>
    <w:uiPriority w:val="0"/>
    <w:pPr>
      <w:widowControl/>
      <w:spacing w:before="100" w:beforeAutospacing="1" w:after="100" w:afterAutospacing="1"/>
    </w:pPr>
    <w:rPr>
      <w:rFonts w:ascii="宋体" w:hAnsi="宋体" w:eastAsia="宋体" w:cs="宋体"/>
      <w:kern w:val="0"/>
    </w:rPr>
  </w:style>
  <w:style w:type="paragraph" w:customStyle="1" w:styleId="192">
    <w:name w:val="Char Char Char Char Char Char Char Char Char Char Char Char Char"/>
    <w:basedOn w:val="1"/>
    <w:qFormat/>
    <w:uiPriority w:val="0"/>
    <w:pPr>
      <w:widowControl/>
      <w:spacing w:after="160" w:line="240" w:lineRule="exact"/>
    </w:pPr>
    <w:rPr>
      <w:rFonts w:ascii="Verdana" w:hAnsi="Verdana" w:eastAsia="仿宋_GB2312"/>
      <w:kern w:val="0"/>
      <w:szCs w:val="20"/>
      <w:lang w:eastAsia="en-US"/>
    </w:rPr>
  </w:style>
  <w:style w:type="paragraph" w:customStyle="1" w:styleId="193">
    <w:name w:val="样式 正文首行缩进 2 + 首行缩进:  2 字符"/>
    <w:basedOn w:val="1"/>
    <w:qFormat/>
    <w:uiPriority w:val="0"/>
    <w:pPr>
      <w:numPr>
        <w:ilvl w:val="0"/>
        <w:numId w:val="5"/>
      </w:numPr>
      <w:adjustRightInd w:val="0"/>
      <w:snapToGrid w:val="0"/>
      <w:spacing w:line="360" w:lineRule="auto"/>
      <w:jc w:val="both"/>
    </w:pPr>
    <w:rPr>
      <w:rFonts w:ascii="Arial" w:hAnsi="Arial" w:eastAsia="宋体"/>
      <w:b/>
      <w:szCs w:val="20"/>
    </w:rPr>
  </w:style>
  <w:style w:type="paragraph" w:customStyle="1" w:styleId="194">
    <w:name w:val="样式 首行缩进:  0.74 厘米"/>
    <w:basedOn w:val="1"/>
    <w:qFormat/>
    <w:uiPriority w:val="0"/>
    <w:pPr>
      <w:spacing w:line="360" w:lineRule="auto"/>
      <w:ind w:firstLine="420"/>
      <w:jc w:val="both"/>
    </w:pPr>
    <w:rPr>
      <w:rFonts w:ascii="Calibri" w:hAnsi="Calibri" w:eastAsia="宋体"/>
      <w:szCs w:val="20"/>
    </w:rPr>
  </w:style>
  <w:style w:type="paragraph" w:customStyle="1" w:styleId="195">
    <w:name w:val="表格文本"/>
    <w:qFormat/>
    <w:uiPriority w:val="0"/>
    <w:pPr>
      <w:tabs>
        <w:tab w:val="decimal" w:pos="0"/>
      </w:tabs>
    </w:pPr>
    <w:rPr>
      <w:rFonts w:ascii="Arial" w:hAnsi="Arial" w:eastAsia="宋体" w:cs="Times New Roman"/>
      <w:sz w:val="21"/>
      <w:lang w:val="en-US" w:eastAsia="zh-CN" w:bidi="ar-SA"/>
    </w:rPr>
  </w:style>
  <w:style w:type="paragraph" w:customStyle="1" w:styleId="196">
    <w:name w:val="默认段落字体 Para Char Char Char Char Char Char Char"/>
    <w:basedOn w:val="1"/>
    <w:qFormat/>
    <w:uiPriority w:val="0"/>
    <w:pPr>
      <w:jc w:val="both"/>
    </w:pPr>
    <w:rPr>
      <w:rFonts w:ascii="Tahoma" w:hAnsi="Tahoma" w:eastAsia="宋体"/>
      <w:szCs w:val="20"/>
    </w:rPr>
  </w:style>
  <w:style w:type="paragraph" w:customStyle="1" w:styleId="197">
    <w:name w:val="正文格式"/>
    <w:basedOn w:val="1"/>
    <w:qFormat/>
    <w:uiPriority w:val="0"/>
    <w:pPr>
      <w:widowControl/>
      <w:adjustRightInd w:val="0"/>
      <w:snapToGrid w:val="0"/>
      <w:spacing w:before="60" w:line="360" w:lineRule="auto"/>
      <w:ind w:firstLine="480" w:firstLineChars="200"/>
    </w:pPr>
    <w:rPr>
      <w:rFonts w:ascii="宋体" w:hAnsi="宋体" w:eastAsia="宋体"/>
      <w:color w:val="000000"/>
      <w:kern w:val="0"/>
      <w:szCs w:val="20"/>
    </w:rPr>
  </w:style>
  <w:style w:type="paragraph" w:customStyle="1" w:styleId="198">
    <w:name w:val="Char1"/>
    <w:basedOn w:val="1"/>
    <w:qFormat/>
    <w:uiPriority w:val="0"/>
    <w:pPr>
      <w:jc w:val="both"/>
    </w:pPr>
    <w:rPr>
      <w:rFonts w:ascii="Calibri" w:hAnsi="Calibri" w:eastAsia="宋体"/>
      <w:sz w:val="21"/>
      <w:szCs w:val="20"/>
    </w:rPr>
  </w:style>
  <w:style w:type="paragraph" w:customStyle="1" w:styleId="199">
    <w:name w:val="样式 标题 1 + 居中 段前: 6 磅 段后: 6 磅 行距: 1.5 倍行距"/>
    <w:basedOn w:val="3"/>
    <w:qFormat/>
    <w:uiPriority w:val="0"/>
    <w:pPr>
      <w:keepLines/>
      <w:adjustRightInd w:val="0"/>
      <w:spacing w:before="120" w:after="120"/>
    </w:pPr>
    <w:rPr>
      <w:rFonts w:ascii="Times New Roman" w:hAnsi="Calibri" w:eastAsia="宋体"/>
      <w:kern w:val="44"/>
      <w:szCs w:val="20"/>
    </w:rPr>
  </w:style>
  <w:style w:type="paragraph" w:customStyle="1" w:styleId="200">
    <w:name w:val="Char1 Char Char Char"/>
    <w:basedOn w:val="1"/>
    <w:qFormat/>
    <w:uiPriority w:val="0"/>
    <w:pPr>
      <w:jc w:val="both"/>
    </w:pPr>
    <w:rPr>
      <w:rFonts w:ascii="Tahoma" w:hAnsi="Tahoma" w:eastAsia="宋体"/>
      <w:sz w:val="30"/>
      <w:szCs w:val="20"/>
    </w:rPr>
  </w:style>
  <w:style w:type="paragraph" w:customStyle="1" w:styleId="201">
    <w:name w:val="Char Char Char Char Char"/>
    <w:basedOn w:val="1"/>
    <w:qFormat/>
    <w:uiPriority w:val="0"/>
    <w:pPr>
      <w:numPr>
        <w:ilvl w:val="0"/>
        <w:numId w:val="6"/>
      </w:numPr>
      <w:tabs>
        <w:tab w:val="left" w:pos="425"/>
        <w:tab w:val="clear" w:pos="1620"/>
      </w:tabs>
      <w:jc w:val="both"/>
    </w:pPr>
    <w:rPr>
      <w:rFonts w:ascii="Tahoma" w:hAnsi="Tahoma" w:eastAsia="宋体"/>
      <w:szCs w:val="20"/>
    </w:rPr>
  </w:style>
  <w:style w:type="paragraph" w:customStyle="1" w:styleId="202">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203">
    <w:name w:val="Table Contents"/>
    <w:basedOn w:val="2"/>
    <w:qFormat/>
    <w:uiPriority w:val="0"/>
    <w:pPr>
      <w:suppressAutoHyphens/>
      <w:spacing w:after="0"/>
    </w:pPr>
    <w:rPr>
      <w:rFonts w:ascii="Times New Roman" w:hAnsi="Calibri" w:eastAsia="Times New Roman"/>
      <w:kern w:val="0"/>
      <w:szCs w:val="20"/>
    </w:rPr>
  </w:style>
  <w:style w:type="paragraph" w:customStyle="1" w:styleId="204">
    <w:name w:val="标题2"/>
    <w:basedOn w:val="4"/>
    <w:qFormat/>
    <w:uiPriority w:val="0"/>
    <w:pPr>
      <w:keepNext w:val="0"/>
      <w:keepLines w:val="0"/>
      <w:adjustRightInd w:val="0"/>
      <w:snapToGrid w:val="0"/>
      <w:ind w:firstLine="574" w:firstLineChars="196"/>
      <w:jc w:val="both"/>
      <w:outlineLvl w:val="9"/>
    </w:pPr>
    <w:rPr>
      <w:rFonts w:ascii="宋体" w:hAnsi="宋体" w:eastAsia="宋体" w:cs="Times New Roman"/>
      <w:bCs w:val="0"/>
      <w:spacing w:val="6"/>
      <w:szCs w:val="20"/>
      <w:u w:val="single"/>
    </w:rPr>
  </w:style>
  <w:style w:type="paragraph" w:customStyle="1" w:styleId="205">
    <w:name w:val="List Paragraph11"/>
    <w:basedOn w:val="1"/>
    <w:qFormat/>
    <w:uiPriority w:val="0"/>
    <w:pPr>
      <w:ind w:firstLine="420" w:firstLineChars="200"/>
      <w:jc w:val="both"/>
    </w:pPr>
    <w:rPr>
      <w:rFonts w:ascii="等线" w:hAnsi="等线" w:eastAsia="等线"/>
      <w:sz w:val="21"/>
      <w:szCs w:val="22"/>
    </w:rPr>
  </w:style>
  <w:style w:type="paragraph" w:customStyle="1" w:styleId="206">
    <w:name w:val="附录3"/>
    <w:basedOn w:val="1"/>
    <w:qFormat/>
    <w:uiPriority w:val="0"/>
    <w:pPr>
      <w:tabs>
        <w:tab w:val="left" w:pos="851"/>
      </w:tabs>
      <w:ind w:left="425" w:hanging="425"/>
      <w:jc w:val="both"/>
      <w:outlineLvl w:val="2"/>
    </w:pPr>
    <w:rPr>
      <w:rFonts w:ascii="Calibri" w:hAnsi="Calibri" w:eastAsia="黑体"/>
      <w:b/>
      <w:sz w:val="32"/>
      <w:szCs w:val="20"/>
    </w:rPr>
  </w:style>
  <w:style w:type="paragraph" w:customStyle="1" w:styleId="207">
    <w:name w:val="标题3——2"/>
    <w:basedOn w:val="5"/>
    <w:qFormat/>
    <w:uiPriority w:val="0"/>
    <w:pPr>
      <w:tabs>
        <w:tab w:val="left" w:pos="1280"/>
        <w:tab w:val="right" w:leader="dot" w:pos="8777"/>
      </w:tabs>
      <w:spacing w:beforeLines="100" w:after="0" w:line="240" w:lineRule="auto"/>
      <w:ind w:left="851" w:hanging="851"/>
      <w:jc w:val="both"/>
      <w:outlineLvl w:val="9"/>
    </w:pPr>
    <w:rPr>
      <w:rFonts w:ascii="黑体" w:hAnsi="宋体" w:eastAsia="黑体"/>
      <w:bCs w:val="0"/>
      <w:sz w:val="30"/>
      <w:szCs w:val="20"/>
    </w:rPr>
  </w:style>
  <w:style w:type="paragraph" w:customStyle="1" w:styleId="208">
    <w:name w:val="项目"/>
    <w:basedOn w:val="1"/>
    <w:qFormat/>
    <w:uiPriority w:val="0"/>
    <w:pPr>
      <w:tabs>
        <w:tab w:val="left" w:pos="1280"/>
      </w:tabs>
      <w:spacing w:before="120" w:after="120" w:line="360" w:lineRule="auto"/>
      <w:ind w:left="-7" w:firstLine="567"/>
    </w:pPr>
    <w:rPr>
      <w:rFonts w:ascii="宋体" w:hAnsi="Calibri" w:eastAsia="宋体"/>
      <w:kern w:val="0"/>
      <w:szCs w:val="20"/>
    </w:rPr>
  </w:style>
  <w:style w:type="paragraph" w:customStyle="1" w:styleId="209">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rFonts w:ascii="Calibri" w:hAnsi="Calibri" w:eastAsia="宋体"/>
      <w:kern w:val="0"/>
      <w:sz w:val="21"/>
      <w:szCs w:val="20"/>
      <w:lang w:eastAsia="en-US"/>
    </w:rPr>
  </w:style>
  <w:style w:type="paragraph" w:customStyle="1" w:styleId="210">
    <w:name w:val="List Paragraph1"/>
    <w:basedOn w:val="1"/>
    <w:qFormat/>
    <w:uiPriority w:val="0"/>
    <w:pPr>
      <w:ind w:firstLine="420" w:firstLineChars="200"/>
      <w:jc w:val="both"/>
    </w:pPr>
    <w:rPr>
      <w:rFonts w:ascii="Calibri" w:hAnsi="Calibri" w:eastAsia="宋体"/>
      <w:sz w:val="21"/>
      <w:szCs w:val="22"/>
    </w:rPr>
  </w:style>
  <w:style w:type="paragraph" w:customStyle="1" w:styleId="211">
    <w:name w:val="af"/>
    <w:basedOn w:val="1"/>
    <w:qFormat/>
    <w:uiPriority w:val="0"/>
    <w:pPr>
      <w:widowControl/>
      <w:spacing w:line="300" w:lineRule="atLeast"/>
    </w:pPr>
    <w:rPr>
      <w:rFonts w:ascii="宋体" w:hAnsi="宋体" w:eastAsia="宋体"/>
      <w:kern w:val="0"/>
      <w:sz w:val="18"/>
      <w:szCs w:val="20"/>
    </w:rPr>
  </w:style>
  <w:style w:type="paragraph" w:customStyle="1" w:styleId="212">
    <w:name w:val="样式8"/>
    <w:basedOn w:val="1"/>
    <w:qFormat/>
    <w:uiPriority w:val="0"/>
    <w:pPr>
      <w:jc w:val="both"/>
    </w:pPr>
    <w:rPr>
      <w:rFonts w:ascii="Times New Roman" w:hAnsi="Times New Roman" w:eastAsia="仿宋"/>
      <w:szCs w:val="20"/>
    </w:rPr>
  </w:style>
  <w:style w:type="paragraph" w:customStyle="1" w:styleId="213">
    <w:name w:val="bt"/>
    <w:basedOn w:val="1"/>
    <w:qFormat/>
    <w:uiPriority w:val="0"/>
    <w:pPr>
      <w:overflowPunct w:val="0"/>
      <w:autoSpaceDE w:val="0"/>
      <w:autoSpaceDN w:val="0"/>
      <w:adjustRightInd w:val="0"/>
      <w:snapToGrid w:val="0"/>
      <w:spacing w:before="100" w:after="100" w:line="240" w:lineRule="atLeast"/>
      <w:ind w:left="2880" w:hanging="360"/>
      <w:jc w:val="both"/>
    </w:pPr>
    <w:rPr>
      <w:rFonts w:ascii="宋体" w:hAnsi="Calibri" w:eastAsia="宋体"/>
      <w:kern w:val="0"/>
      <w:sz w:val="20"/>
      <w:szCs w:val="20"/>
    </w:rPr>
  </w:style>
  <w:style w:type="paragraph" w:customStyle="1" w:styleId="214">
    <w:name w:val="style1"/>
    <w:basedOn w:val="1"/>
    <w:qFormat/>
    <w:uiPriority w:val="0"/>
    <w:pPr>
      <w:widowControl/>
      <w:spacing w:before="100" w:beforeAutospacing="1" w:after="100" w:afterAutospacing="1"/>
    </w:pPr>
    <w:rPr>
      <w:rFonts w:ascii="宋体" w:hAnsi="宋体" w:eastAsia="宋体"/>
      <w:kern w:val="0"/>
      <w:sz w:val="21"/>
      <w:szCs w:val="20"/>
    </w:rPr>
  </w:style>
  <w:style w:type="paragraph" w:customStyle="1" w:styleId="215">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jc w:val="both"/>
    </w:pPr>
    <w:rPr>
      <w:rFonts w:hAnsi="宋体" w:eastAsia="黑体"/>
      <w:kern w:val="44"/>
      <w:sz w:val="36"/>
      <w:szCs w:val="20"/>
    </w:rPr>
  </w:style>
  <w:style w:type="paragraph" w:customStyle="1" w:styleId="216">
    <w:name w:val="图片文字"/>
    <w:basedOn w:val="1"/>
    <w:qFormat/>
    <w:uiPriority w:val="0"/>
    <w:pPr>
      <w:spacing w:line="240" w:lineRule="atLeast"/>
      <w:jc w:val="center"/>
    </w:pPr>
    <w:rPr>
      <w:rFonts w:ascii="Calibri" w:hAnsi="Calibri" w:eastAsia="宋体"/>
      <w:sz w:val="21"/>
      <w:szCs w:val="20"/>
    </w:rPr>
  </w:style>
  <w:style w:type="paragraph" w:customStyle="1" w:styleId="217">
    <w:name w:val="表格内文字"/>
    <w:basedOn w:val="32"/>
    <w:qFormat/>
    <w:uiPriority w:val="0"/>
    <w:pPr>
      <w:adjustRightInd w:val="0"/>
    </w:pPr>
    <w:rPr>
      <w:color w:val="000000"/>
      <w:lang w:val="en-GB"/>
    </w:rPr>
  </w:style>
  <w:style w:type="paragraph" w:customStyle="1" w:styleId="218">
    <w:name w:val="二级条标题"/>
    <w:basedOn w:val="219"/>
    <w:qFormat/>
    <w:uiPriority w:val="0"/>
    <w:pPr>
      <w:ind w:left="840"/>
      <w:outlineLvl w:val="3"/>
    </w:pPr>
  </w:style>
  <w:style w:type="paragraph" w:customStyle="1" w:styleId="219">
    <w:name w:val="一级条标题"/>
    <w:basedOn w:val="220"/>
    <w:qFormat/>
    <w:uiPriority w:val="0"/>
    <w:pPr>
      <w:numPr>
        <w:ilvl w:val="0"/>
        <w:numId w:val="0"/>
      </w:numPr>
      <w:spacing w:beforeLines="0" w:afterLines="0"/>
      <w:ind w:left="525"/>
      <w:outlineLvl w:val="2"/>
    </w:pPr>
    <w:rPr>
      <w:sz w:val="21"/>
    </w:rPr>
  </w:style>
  <w:style w:type="paragraph" w:customStyle="1" w:styleId="220">
    <w:name w:val="章标题"/>
    <w:qFormat/>
    <w:uiPriority w:val="0"/>
    <w:pPr>
      <w:numPr>
        <w:ilvl w:val="1"/>
        <w:numId w:val="7"/>
      </w:numPr>
      <w:spacing w:beforeLines="50" w:afterLines="50"/>
      <w:ind w:left="0"/>
      <w:jc w:val="both"/>
      <w:outlineLvl w:val="1"/>
    </w:pPr>
    <w:rPr>
      <w:rFonts w:ascii="黑体" w:hAnsi="Calibri" w:eastAsia="宋体" w:cs="Times New Roman"/>
      <w:sz w:val="24"/>
      <w:lang w:val="en-US" w:eastAsia="zh-CN" w:bidi="ar-SA"/>
    </w:rPr>
  </w:style>
  <w:style w:type="paragraph" w:customStyle="1" w:styleId="221">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22">
    <w:name w:val="CSS1级正文 Char"/>
    <w:basedOn w:val="2"/>
    <w:qFormat/>
    <w:uiPriority w:val="0"/>
    <w:pPr>
      <w:adjustRightInd w:val="0"/>
      <w:snapToGrid w:val="0"/>
      <w:spacing w:after="0" w:line="360" w:lineRule="auto"/>
      <w:ind w:firstLine="480"/>
      <w:jc w:val="both"/>
    </w:pPr>
    <w:rPr>
      <w:rFonts w:ascii="Times New Roman" w:hAnsi="Calibri" w:eastAsia="宋体"/>
      <w:szCs w:val="20"/>
    </w:rPr>
  </w:style>
  <w:style w:type="paragraph" w:customStyle="1" w:styleId="223">
    <w:name w:val="标题 5（有编号）（绿盟科技）"/>
    <w:basedOn w:val="1"/>
    <w:qFormat/>
    <w:uiPriority w:val="0"/>
    <w:pPr>
      <w:keepNext/>
      <w:keepLines/>
      <w:numPr>
        <w:ilvl w:val="4"/>
        <w:numId w:val="9"/>
      </w:numPr>
      <w:spacing w:before="280" w:after="156" w:line="377" w:lineRule="auto"/>
      <w:outlineLvl w:val="4"/>
    </w:pPr>
    <w:rPr>
      <w:rFonts w:ascii="Arial" w:hAnsi="Arial" w:eastAsia="黑体"/>
      <w:b/>
      <w:kern w:val="0"/>
      <w:szCs w:val="28"/>
    </w:rPr>
  </w:style>
  <w:style w:type="paragraph" w:customStyle="1" w:styleId="224">
    <w:name w:val="Char2 Char Char Char Char Char Char"/>
    <w:basedOn w:val="1"/>
    <w:qFormat/>
    <w:uiPriority w:val="0"/>
    <w:pPr>
      <w:jc w:val="both"/>
    </w:pPr>
    <w:rPr>
      <w:rFonts w:ascii="仿宋_GB2312" w:hAnsi="Calibri" w:eastAsia="宋体"/>
      <w:b/>
      <w:sz w:val="30"/>
      <w:szCs w:val="20"/>
    </w:rPr>
  </w:style>
  <w:style w:type="paragraph" w:customStyle="1" w:styleId="225">
    <w:name w:val="表头样式"/>
    <w:basedOn w:val="1"/>
    <w:qFormat/>
    <w:uiPriority w:val="0"/>
    <w:pPr>
      <w:autoSpaceDE w:val="0"/>
      <w:autoSpaceDN w:val="0"/>
      <w:adjustRightInd w:val="0"/>
      <w:spacing w:line="360" w:lineRule="auto"/>
    </w:pPr>
    <w:rPr>
      <w:rFonts w:ascii="Calibri" w:hAnsi="Calibri" w:eastAsia="宋体"/>
      <w:b/>
      <w:kern w:val="0"/>
      <w:sz w:val="21"/>
      <w:szCs w:val="20"/>
    </w:rPr>
  </w:style>
  <w:style w:type="paragraph" w:customStyle="1" w:styleId="226">
    <w:name w:val="文本框样式1"/>
    <w:basedOn w:val="1"/>
    <w:qFormat/>
    <w:uiPriority w:val="0"/>
    <w:pPr>
      <w:adjustRightInd w:val="0"/>
      <w:snapToGrid w:val="0"/>
      <w:spacing w:before="60" w:line="180" w:lineRule="exact"/>
      <w:jc w:val="center"/>
    </w:pPr>
    <w:rPr>
      <w:rFonts w:ascii="Calibri" w:hAnsi="Calibri" w:eastAsia="宋体"/>
      <w:sz w:val="21"/>
      <w:szCs w:val="20"/>
    </w:rPr>
  </w:style>
  <w:style w:type="paragraph" w:customStyle="1" w:styleId="227">
    <w:name w:val="样式6"/>
    <w:basedOn w:val="1"/>
    <w:qFormat/>
    <w:uiPriority w:val="0"/>
    <w:pPr>
      <w:jc w:val="both"/>
    </w:pPr>
    <w:rPr>
      <w:rFonts w:ascii="Times New Roman" w:hAnsi="Times New Roman" w:eastAsia="宋体"/>
      <w:sz w:val="28"/>
      <w:szCs w:val="20"/>
    </w:rPr>
  </w:style>
  <w:style w:type="paragraph" w:customStyle="1" w:styleId="228">
    <w:name w:val="_"/>
    <w:basedOn w:val="1"/>
    <w:qFormat/>
    <w:uiPriority w:val="0"/>
    <w:pPr>
      <w:adjustRightInd w:val="0"/>
      <w:spacing w:line="360" w:lineRule="auto"/>
      <w:ind w:left="480" w:firstLine="200" w:firstLineChars="200"/>
      <w:jc w:val="both"/>
    </w:pPr>
    <w:rPr>
      <w:rFonts w:ascii="Calibri" w:hAnsi="Calibri" w:eastAsia="宋体"/>
      <w:kern w:val="0"/>
      <w:szCs w:val="20"/>
    </w:rPr>
  </w:style>
  <w:style w:type="paragraph" w:customStyle="1" w:styleId="22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rFonts w:ascii="Calibri" w:hAnsi="Calibri" w:eastAsia="宋体"/>
      <w:b/>
      <w:i/>
      <w:szCs w:val="20"/>
    </w:rPr>
  </w:style>
  <w:style w:type="paragraph" w:customStyle="1" w:styleId="230">
    <w:name w:val="表格1"/>
    <w:basedOn w:val="1"/>
    <w:qFormat/>
    <w:uiPriority w:val="0"/>
    <w:pPr>
      <w:kinsoku w:val="0"/>
      <w:wordWrap w:val="0"/>
      <w:overflowPunct w:val="0"/>
      <w:autoSpaceDE w:val="0"/>
      <w:autoSpaceDN w:val="0"/>
      <w:adjustRightInd w:val="0"/>
      <w:spacing w:line="288" w:lineRule="auto"/>
      <w:jc w:val="center"/>
    </w:pPr>
    <w:rPr>
      <w:rFonts w:ascii="宋体" w:hAnsi="Calibri" w:eastAsia="宋体"/>
      <w:kern w:val="0"/>
      <w:sz w:val="18"/>
      <w:szCs w:val="20"/>
    </w:rPr>
  </w:style>
  <w:style w:type="paragraph" w:customStyle="1" w:styleId="231">
    <w:name w:val="样式 样式 首行缩进:  2 字符 + 首行缩进:  2 字符"/>
    <w:basedOn w:val="1"/>
    <w:qFormat/>
    <w:uiPriority w:val="0"/>
    <w:pPr>
      <w:numPr>
        <w:ilvl w:val="0"/>
        <w:numId w:val="10"/>
      </w:numPr>
      <w:tabs>
        <w:tab w:val="clear" w:pos="1230"/>
      </w:tabs>
      <w:spacing w:line="360" w:lineRule="auto"/>
      <w:ind w:firstLine="480" w:firstLineChars="200"/>
      <w:jc w:val="both"/>
    </w:pPr>
    <w:rPr>
      <w:rFonts w:ascii="Calibri" w:hAnsi="Calibri" w:eastAsia="宋体"/>
      <w:szCs w:val="20"/>
    </w:rPr>
  </w:style>
  <w:style w:type="paragraph" w:customStyle="1" w:styleId="232">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33">
    <w:name w:val="Table Heading"/>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234">
    <w:name w:val="文本1"/>
    <w:basedOn w:val="1"/>
    <w:qFormat/>
    <w:uiPriority w:val="0"/>
    <w:pPr>
      <w:adjustRightInd w:val="0"/>
      <w:spacing w:line="312" w:lineRule="atLeast"/>
      <w:jc w:val="center"/>
    </w:pPr>
    <w:rPr>
      <w:rFonts w:ascii="Calibri" w:hAnsi="Calibri" w:eastAsia="宋体"/>
      <w:kern w:val="0"/>
      <w:sz w:val="18"/>
      <w:szCs w:val="20"/>
    </w:rPr>
  </w:style>
  <w:style w:type="paragraph" w:customStyle="1" w:styleId="235">
    <w:name w:val="IN Feature"/>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236">
    <w:name w:val="IN Step"/>
    <w:basedOn w:val="1"/>
    <w:qFormat/>
    <w:uiPriority w:val="0"/>
    <w:pPr>
      <w:keepLines/>
      <w:widowControl/>
      <w:tabs>
        <w:tab w:val="left" w:pos="1134"/>
      </w:tabs>
      <w:spacing w:before="80" w:after="80" w:line="300" w:lineRule="auto"/>
      <w:ind w:left="1134" w:hanging="907"/>
      <w:jc w:val="both"/>
      <w:outlineLvl w:val="8"/>
    </w:pPr>
    <w:rPr>
      <w:rFonts w:ascii="Arial" w:hAnsi="Arial" w:eastAsia="宋体"/>
      <w:kern w:val="0"/>
      <w:sz w:val="21"/>
      <w:szCs w:val="20"/>
    </w:rPr>
  </w:style>
  <w:style w:type="paragraph" w:customStyle="1" w:styleId="237">
    <w:name w:val="小标题 1"/>
    <w:basedOn w:val="1"/>
    <w:qFormat/>
    <w:uiPriority w:val="0"/>
    <w:pPr>
      <w:autoSpaceDE w:val="0"/>
      <w:autoSpaceDN w:val="0"/>
      <w:adjustRightInd w:val="0"/>
      <w:spacing w:line="360" w:lineRule="atLeast"/>
      <w:jc w:val="both"/>
    </w:pPr>
    <w:rPr>
      <w:rFonts w:ascii="文鼎粗黑" w:hAnsi="Calibri" w:eastAsia="文鼎粗黑"/>
      <w:kern w:val="0"/>
      <w:sz w:val="22"/>
      <w:szCs w:val="20"/>
    </w:rPr>
  </w:style>
  <w:style w:type="paragraph" w:customStyle="1" w:styleId="238">
    <w:name w:val="附录2"/>
    <w:basedOn w:val="1"/>
    <w:qFormat/>
    <w:uiPriority w:val="0"/>
    <w:pPr>
      <w:tabs>
        <w:tab w:val="left" w:pos="420"/>
        <w:tab w:val="left" w:pos="624"/>
      </w:tabs>
      <w:ind w:left="420" w:hanging="420"/>
      <w:jc w:val="both"/>
      <w:outlineLvl w:val="1"/>
    </w:pPr>
    <w:rPr>
      <w:rFonts w:ascii="黑体" w:hAnsi="黑体" w:eastAsia="黑体"/>
      <w:b/>
      <w:sz w:val="32"/>
      <w:szCs w:val="20"/>
    </w:rPr>
  </w:style>
  <w:style w:type="paragraph" w:customStyle="1" w:styleId="239">
    <w:name w:val="正文字缩2字"/>
    <w:basedOn w:val="1"/>
    <w:qFormat/>
    <w:uiPriority w:val="0"/>
    <w:pPr>
      <w:spacing w:before="60" w:after="60" w:line="360" w:lineRule="auto"/>
      <w:ind w:left="200" w:leftChars="200" w:firstLine="200" w:firstLineChars="200"/>
      <w:jc w:val="both"/>
    </w:pPr>
    <w:rPr>
      <w:rFonts w:ascii="Calibri" w:hAnsi="Calibri" w:eastAsia="宋体"/>
      <w:szCs w:val="20"/>
    </w:rPr>
  </w:style>
  <w:style w:type="paragraph" w:customStyle="1" w:styleId="240">
    <w:name w:val="附录1"/>
    <w:basedOn w:val="1"/>
    <w:qFormat/>
    <w:uiPriority w:val="0"/>
    <w:pPr>
      <w:tabs>
        <w:tab w:val="left" w:pos="1304"/>
      </w:tabs>
      <w:ind w:left="425" w:hanging="425"/>
      <w:jc w:val="both"/>
      <w:outlineLvl w:val="0"/>
    </w:pPr>
    <w:rPr>
      <w:rFonts w:ascii="黑体" w:hAnsi="黑体" w:eastAsia="黑体"/>
      <w:b/>
      <w:sz w:val="44"/>
      <w:szCs w:val="20"/>
    </w:rPr>
  </w:style>
  <w:style w:type="paragraph" w:customStyle="1" w:styleId="241">
    <w:name w:val="样式4"/>
    <w:basedOn w:val="6"/>
    <w:qFormat/>
    <w:uiPriority w:val="0"/>
    <w:pPr>
      <w:keepNext w:val="0"/>
      <w:keepLines w:val="0"/>
      <w:adjustRightInd w:val="0"/>
      <w:snapToGrid w:val="0"/>
      <w:spacing w:line="372" w:lineRule="auto"/>
      <w:jc w:val="both"/>
    </w:pPr>
    <w:rPr>
      <w:rFonts w:ascii="Calibri" w:hAnsi="Calibri" w:eastAsia="宋体" w:cs="Times New Roman"/>
      <w:b w:val="0"/>
      <w:bCs w:val="0"/>
      <w:szCs w:val="20"/>
    </w:rPr>
  </w:style>
  <w:style w:type="paragraph" w:customStyle="1" w:styleId="242">
    <w:name w:val="样式 行距: 1.5 倍行距1"/>
    <w:basedOn w:val="1"/>
    <w:qFormat/>
    <w:uiPriority w:val="0"/>
    <w:pPr>
      <w:snapToGrid w:val="0"/>
      <w:jc w:val="both"/>
    </w:pPr>
    <w:rPr>
      <w:rFonts w:ascii="Calibri" w:hAnsi="Calibri" w:eastAsia="宋体"/>
      <w:sz w:val="21"/>
      <w:szCs w:val="20"/>
    </w:rPr>
  </w:style>
  <w:style w:type="paragraph" w:customStyle="1" w:styleId="243">
    <w:name w:val="Char"/>
    <w:basedOn w:val="1"/>
    <w:qFormat/>
    <w:uiPriority w:val="0"/>
    <w:pPr>
      <w:spacing w:line="240" w:lineRule="atLeast"/>
      <w:ind w:left="420" w:firstLine="420"/>
      <w:jc w:val="both"/>
    </w:pPr>
    <w:rPr>
      <w:rFonts w:ascii="Calibri" w:hAnsi="Calibri" w:eastAsia="宋体"/>
      <w:kern w:val="0"/>
      <w:sz w:val="21"/>
      <w:szCs w:val="20"/>
    </w:rPr>
  </w:style>
  <w:style w:type="paragraph" w:customStyle="1" w:styleId="244">
    <w:name w:val="样式1"/>
    <w:basedOn w:val="6"/>
    <w:qFormat/>
    <w:uiPriority w:val="0"/>
    <w:pPr>
      <w:keepNext w:val="0"/>
      <w:keepLines w:val="0"/>
      <w:tabs>
        <w:tab w:val="left" w:pos="720"/>
      </w:tabs>
      <w:spacing w:before="500" w:after="260" w:line="560" w:lineRule="atLeast"/>
      <w:ind w:left="420" w:hanging="420"/>
      <w:jc w:val="both"/>
    </w:pPr>
    <w:rPr>
      <w:rFonts w:ascii="Calibri" w:hAnsi="Calibri" w:eastAsia="宋体" w:cs="Times New Roman"/>
      <w:b w:val="0"/>
      <w:bCs w:val="0"/>
      <w:szCs w:val="20"/>
    </w:rPr>
  </w:style>
  <w:style w:type="paragraph" w:customStyle="1" w:styleId="245">
    <w:name w:val="标准正文"/>
    <w:basedOn w:val="24"/>
    <w:qFormat/>
    <w:uiPriority w:val="0"/>
    <w:pPr>
      <w:spacing w:before="60" w:after="60" w:line="360" w:lineRule="auto"/>
      <w:ind w:left="0" w:firstLine="482"/>
    </w:pPr>
    <w:rPr>
      <w:rFonts w:ascii="Arial" w:hAnsi="Arial"/>
      <w:sz w:val="24"/>
    </w:rPr>
  </w:style>
  <w:style w:type="paragraph" w:customStyle="1" w:styleId="246">
    <w:name w:val="Char Char Char Char"/>
    <w:basedOn w:val="1"/>
    <w:qFormat/>
    <w:uiPriority w:val="0"/>
    <w:pPr>
      <w:pageBreakBefore/>
      <w:widowControl/>
      <w:spacing w:after="160" w:line="240" w:lineRule="exact"/>
    </w:pPr>
    <w:rPr>
      <w:rFonts w:ascii="Verdana" w:hAnsi="Verdana" w:eastAsia="宋体"/>
      <w:kern w:val="0"/>
      <w:sz w:val="20"/>
      <w:szCs w:val="20"/>
      <w:lang w:eastAsia="en-US"/>
    </w:rPr>
  </w:style>
  <w:style w:type="paragraph" w:customStyle="1" w:styleId="247">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48">
    <w:name w:val="Figure Description"/>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249">
    <w:name w:val="样式7"/>
    <w:basedOn w:val="1"/>
    <w:qFormat/>
    <w:uiPriority w:val="0"/>
    <w:pPr>
      <w:jc w:val="both"/>
    </w:pPr>
    <w:rPr>
      <w:rFonts w:ascii="Times New Roman" w:hAnsi="Times New Roman" w:eastAsia="宋体"/>
      <w:sz w:val="28"/>
      <w:szCs w:val="20"/>
    </w:rPr>
  </w:style>
  <w:style w:type="paragraph" w:customStyle="1" w:styleId="250">
    <w:name w:val="正文 A"/>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251">
    <w:name w:val="样式 宋体 五号 行距: 单倍行距"/>
    <w:basedOn w:val="1"/>
    <w:qFormat/>
    <w:uiPriority w:val="0"/>
    <w:pPr>
      <w:adjustRightInd w:val="0"/>
    </w:pPr>
    <w:rPr>
      <w:rFonts w:ascii="宋体" w:hAnsi="宋体" w:eastAsia="宋体"/>
      <w:kern w:val="0"/>
      <w:sz w:val="21"/>
      <w:szCs w:val="20"/>
    </w:rPr>
  </w:style>
  <w:style w:type="paragraph" w:customStyle="1" w:styleId="252">
    <w:name w:val="Table Description"/>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253">
    <w:name w:val="Char Char 字元 字元 字元 Char Char Char Char"/>
    <w:basedOn w:val="1"/>
    <w:qFormat/>
    <w:uiPriority w:val="0"/>
    <w:pPr>
      <w:adjustRightInd w:val="0"/>
      <w:spacing w:line="360" w:lineRule="auto"/>
      <w:jc w:val="both"/>
    </w:pPr>
    <w:rPr>
      <w:rFonts w:ascii="Calibri" w:hAnsi="Calibri" w:eastAsia="宋体"/>
      <w:kern w:val="0"/>
      <w:szCs w:val="20"/>
    </w:rPr>
  </w:style>
  <w:style w:type="paragraph" w:customStyle="1" w:styleId="254">
    <w:name w:val="内容标题"/>
    <w:basedOn w:val="19"/>
    <w:qFormat/>
    <w:uiPriority w:val="0"/>
    <w:rPr>
      <w:rFonts w:ascii="Tahoma" w:hAnsi="Tahoma"/>
      <w:sz w:val="24"/>
    </w:rPr>
  </w:style>
  <w:style w:type="paragraph" w:customStyle="1" w:styleId="255">
    <w:name w:val="Char Char Char Char Char Char Char Char Char Char Char Char Char Char Char Char"/>
    <w:basedOn w:val="1"/>
    <w:qFormat/>
    <w:uiPriority w:val="0"/>
    <w:pPr>
      <w:tabs>
        <w:tab w:val="left" w:pos="360"/>
      </w:tabs>
      <w:jc w:val="both"/>
    </w:pPr>
    <w:rPr>
      <w:rFonts w:ascii="Calibri" w:hAnsi="Calibri" w:eastAsia="宋体"/>
      <w:szCs w:val="20"/>
    </w:rPr>
  </w:style>
  <w:style w:type="paragraph" w:customStyle="1" w:styleId="256">
    <w:name w:val="附录4"/>
    <w:basedOn w:val="1"/>
    <w:qFormat/>
    <w:uiPriority w:val="0"/>
    <w:pPr>
      <w:widowControl/>
      <w:tabs>
        <w:tab w:val="left" w:pos="1134"/>
      </w:tabs>
      <w:spacing w:line="300" w:lineRule="auto"/>
      <w:ind w:left="1361" w:hanging="1361"/>
      <w:jc w:val="both"/>
      <w:outlineLvl w:val="3"/>
    </w:pPr>
    <w:rPr>
      <w:rFonts w:ascii="Arial" w:hAnsi="Arial" w:eastAsia="黑体"/>
      <w:kern w:val="0"/>
      <w:sz w:val="28"/>
      <w:szCs w:val="20"/>
    </w:rPr>
  </w:style>
  <w:style w:type="paragraph" w:customStyle="1" w:styleId="257">
    <w:name w:val="AA Numbering"/>
    <w:basedOn w:val="1"/>
    <w:qFormat/>
    <w:uiPriority w:val="0"/>
    <w:pPr>
      <w:widowControl/>
      <w:tabs>
        <w:tab w:val="left" w:pos="1134"/>
        <w:tab w:val="left" w:pos="1280"/>
      </w:tabs>
      <w:adjustRightInd w:val="0"/>
      <w:snapToGrid w:val="0"/>
      <w:spacing w:line="280" w:lineRule="atLeast"/>
    </w:pPr>
    <w:rPr>
      <w:rFonts w:ascii="Calibri" w:hAnsi="Calibri" w:eastAsia="PMingLiU"/>
      <w:kern w:val="0"/>
      <w:szCs w:val="20"/>
      <w:lang w:eastAsia="zh-TW"/>
    </w:rPr>
  </w:style>
  <w:style w:type="paragraph" w:customStyle="1" w:styleId="258">
    <w:name w:val="图例"/>
    <w:basedOn w:val="1"/>
    <w:qFormat/>
    <w:uiPriority w:val="0"/>
    <w:pPr>
      <w:spacing w:before="120" w:after="120" w:line="360" w:lineRule="auto"/>
      <w:jc w:val="center"/>
    </w:pPr>
    <w:rPr>
      <w:rFonts w:ascii="Calibri" w:hAnsi="Calibri" w:eastAsia="仿宋_GB2312"/>
      <w:b/>
      <w:szCs w:val="20"/>
    </w:rPr>
  </w:style>
  <w:style w:type="paragraph" w:customStyle="1" w:styleId="259">
    <w:name w:val="00"/>
    <w:basedOn w:val="1"/>
    <w:qFormat/>
    <w:uiPriority w:val="0"/>
    <w:pPr>
      <w:autoSpaceDE w:val="0"/>
      <w:autoSpaceDN w:val="0"/>
      <w:adjustRightInd w:val="0"/>
    </w:pPr>
    <w:rPr>
      <w:rFonts w:ascii="黑体" w:hAnsi="Calibri" w:eastAsia="黑体"/>
      <w:b/>
      <w:kern w:val="0"/>
      <w:sz w:val="20"/>
      <w:szCs w:val="20"/>
    </w:rPr>
  </w:style>
  <w:style w:type="paragraph" w:customStyle="1" w:styleId="260">
    <w:name w:val="Char1 Char Char Char1"/>
    <w:basedOn w:val="1"/>
    <w:qFormat/>
    <w:uiPriority w:val="0"/>
    <w:pPr>
      <w:jc w:val="both"/>
    </w:pPr>
    <w:rPr>
      <w:rFonts w:ascii="Tahoma" w:hAnsi="Tahoma" w:eastAsia="宋体"/>
      <w:szCs w:val="20"/>
    </w:rPr>
  </w:style>
  <w:style w:type="paragraph" w:customStyle="1" w:styleId="261">
    <w:name w:val="表文字"/>
    <w:qFormat/>
    <w:uiPriority w:val="0"/>
    <w:rPr>
      <w:rFonts w:ascii="宋体" w:hAnsi="Calibri" w:eastAsia="宋体" w:cs="Times New Roman"/>
      <w:kern w:val="2"/>
      <w:lang w:val="en-US" w:eastAsia="zh-CN" w:bidi="ar-SA"/>
    </w:rPr>
  </w:style>
  <w:style w:type="paragraph" w:customStyle="1" w:styleId="262">
    <w:name w:val="正文4"/>
    <w:basedOn w:val="1"/>
    <w:qFormat/>
    <w:uiPriority w:val="0"/>
    <w:pPr>
      <w:tabs>
        <w:tab w:val="left" w:pos="1275"/>
      </w:tabs>
      <w:spacing w:before="60" w:after="60" w:line="360" w:lineRule="auto"/>
      <w:ind w:left="820" w:leftChars="400" w:hanging="705"/>
      <w:jc w:val="both"/>
    </w:pPr>
    <w:rPr>
      <w:rFonts w:ascii="Calibri" w:hAnsi="Calibri" w:eastAsia="宋体"/>
      <w:szCs w:val="20"/>
    </w:rPr>
  </w:style>
  <w:style w:type="paragraph" w:customStyle="1" w:styleId="263">
    <w:name w:val="可研正文"/>
    <w:basedOn w:val="2"/>
    <w:qFormat/>
    <w:uiPriority w:val="0"/>
    <w:pPr>
      <w:adjustRightInd w:val="0"/>
      <w:snapToGrid w:val="0"/>
      <w:spacing w:after="0" w:line="440" w:lineRule="exact"/>
      <w:ind w:firstLine="567"/>
      <w:jc w:val="both"/>
    </w:pPr>
    <w:rPr>
      <w:rFonts w:ascii="仿宋_GB2312" w:hAnsi="Calibri" w:eastAsia="仿宋_GB2312"/>
      <w:sz w:val="28"/>
      <w:szCs w:val="20"/>
    </w:rPr>
  </w:style>
  <w:style w:type="paragraph" w:customStyle="1" w:styleId="264">
    <w:name w:val="缺省文本"/>
    <w:basedOn w:val="1"/>
    <w:qFormat/>
    <w:uiPriority w:val="0"/>
    <w:pPr>
      <w:tabs>
        <w:tab w:val="left" w:pos="1260"/>
      </w:tabs>
      <w:autoSpaceDE w:val="0"/>
      <w:autoSpaceDN w:val="0"/>
      <w:adjustRightInd w:val="0"/>
      <w:spacing w:line="360" w:lineRule="auto"/>
    </w:pPr>
    <w:rPr>
      <w:rFonts w:ascii="Calibri" w:hAnsi="Calibri" w:eastAsia="宋体"/>
      <w:kern w:val="0"/>
      <w:szCs w:val="20"/>
    </w:rPr>
  </w:style>
  <w:style w:type="paragraph" w:customStyle="1" w:styleId="265">
    <w:name w:val="正文 + 三号"/>
    <w:basedOn w:val="1"/>
    <w:qFormat/>
    <w:uiPriority w:val="0"/>
    <w:pPr>
      <w:jc w:val="both"/>
    </w:pPr>
    <w:rPr>
      <w:rFonts w:ascii="Calibri" w:hAnsi="Calibri" w:eastAsia="宋体"/>
      <w:sz w:val="21"/>
      <w:szCs w:val="20"/>
    </w:rPr>
  </w:style>
  <w:style w:type="paragraph" w:customStyle="1" w:styleId="266">
    <w:name w:val="样式3"/>
    <w:basedOn w:val="3"/>
    <w:qFormat/>
    <w:uiPriority w:val="0"/>
    <w:pPr>
      <w:keepLines/>
      <w:adjustRightInd w:val="0"/>
      <w:spacing w:before="340" w:after="330" w:line="576" w:lineRule="auto"/>
      <w:jc w:val="both"/>
    </w:pPr>
    <w:rPr>
      <w:rFonts w:ascii="Times New Roman" w:hAnsi="Calibri" w:eastAsia="黑体"/>
      <w:kern w:val="44"/>
      <w:sz w:val="44"/>
      <w:szCs w:val="20"/>
    </w:rPr>
  </w:style>
  <w:style w:type="paragraph" w:customStyle="1" w:styleId="267">
    <w:name w:val="列表项目"/>
    <w:basedOn w:val="1"/>
    <w:qFormat/>
    <w:uiPriority w:val="0"/>
    <w:pPr>
      <w:numPr>
        <w:ilvl w:val="0"/>
        <w:numId w:val="12"/>
      </w:numPr>
      <w:tabs>
        <w:tab w:val="left" w:pos="420"/>
        <w:tab w:val="clear" w:pos="1200"/>
      </w:tabs>
      <w:spacing w:line="288" w:lineRule="auto"/>
      <w:ind w:left="840" w:leftChars="200" w:hanging="420" w:hangingChars="200"/>
      <w:jc w:val="both"/>
    </w:pPr>
    <w:rPr>
      <w:rFonts w:ascii="Calibri" w:hAnsi="Calibri" w:eastAsia="宋体"/>
      <w:sz w:val="21"/>
      <w:szCs w:val="20"/>
    </w:rPr>
  </w:style>
  <w:style w:type="paragraph" w:customStyle="1" w:styleId="268">
    <w:name w:val="标题1"/>
    <w:basedOn w:val="1"/>
    <w:qFormat/>
    <w:uiPriority w:val="0"/>
    <w:pPr>
      <w:jc w:val="both"/>
    </w:pPr>
    <w:rPr>
      <w:rFonts w:ascii="Times New Roman" w:hAnsi="Times New Roman" w:eastAsia="宋体"/>
      <w:sz w:val="28"/>
      <w:szCs w:val="20"/>
    </w:rPr>
  </w:style>
  <w:style w:type="paragraph" w:customStyle="1" w:styleId="269">
    <w:name w:val="xl23"/>
    <w:basedOn w:val="1"/>
    <w:qFormat/>
    <w:uiPriority w:val="0"/>
    <w:pPr>
      <w:widowControl/>
      <w:spacing w:before="100" w:beforeAutospacing="1" w:after="100" w:afterAutospacing="1" w:line="360" w:lineRule="auto"/>
      <w:jc w:val="both"/>
    </w:pPr>
    <w:rPr>
      <w:rFonts w:ascii="Calibri" w:hAnsi="Calibri" w:eastAsia="宋体"/>
      <w:kern w:val="0"/>
      <w:szCs w:val="20"/>
    </w:rPr>
  </w:style>
  <w:style w:type="paragraph" w:customStyle="1" w:styleId="270">
    <w:name w:val="关键词"/>
    <w:basedOn w:val="1"/>
    <w:qFormat/>
    <w:uiPriority w:val="0"/>
    <w:pPr>
      <w:spacing w:line="360" w:lineRule="auto"/>
      <w:jc w:val="both"/>
    </w:pPr>
    <w:rPr>
      <w:rFonts w:ascii="Calibri" w:hAnsi="Calibri" w:eastAsia="黑体"/>
      <w:sz w:val="20"/>
      <w:szCs w:val="20"/>
    </w:rPr>
  </w:style>
  <w:style w:type="paragraph" w:customStyle="1" w:styleId="271">
    <w:name w:val="Char Char Char Char Char Char Char1"/>
    <w:basedOn w:val="19"/>
    <w:qFormat/>
    <w:uiPriority w:val="0"/>
    <w:rPr>
      <w:rFonts w:ascii="宋体" w:hAnsi="Tahoma"/>
    </w:rPr>
  </w:style>
  <w:style w:type="paragraph" w:customStyle="1" w:styleId="272">
    <w:name w:val="普通(网站)1"/>
    <w:basedOn w:val="1"/>
    <w:qFormat/>
    <w:uiPriority w:val="0"/>
    <w:pPr>
      <w:widowControl/>
      <w:spacing w:before="100" w:beforeAutospacing="1" w:after="100" w:afterAutospacing="1"/>
    </w:pPr>
    <w:rPr>
      <w:rFonts w:ascii="宋体" w:hAnsi="宋体" w:eastAsia="宋体" w:cs="宋体"/>
      <w:kern w:val="0"/>
    </w:rPr>
  </w:style>
  <w:style w:type="paragraph" w:customStyle="1" w:styleId="273">
    <w:name w:val="Char Char Char Char Char Char1 Char"/>
    <w:basedOn w:val="1"/>
    <w:qFormat/>
    <w:uiPriority w:val="0"/>
    <w:pPr>
      <w:widowControl/>
      <w:spacing w:after="160" w:line="240" w:lineRule="exact"/>
    </w:pPr>
    <w:rPr>
      <w:rFonts w:ascii="Verdana" w:hAnsi="Verdana" w:eastAsia="宋体"/>
      <w:kern w:val="0"/>
      <w:sz w:val="21"/>
      <w:szCs w:val="20"/>
      <w:lang w:eastAsia="en-US"/>
    </w:rPr>
  </w:style>
  <w:style w:type="paragraph" w:customStyle="1" w:styleId="274">
    <w:name w:val="Char Char1"/>
    <w:basedOn w:val="1"/>
    <w:qFormat/>
    <w:uiPriority w:val="0"/>
    <w:pPr>
      <w:widowControl/>
      <w:spacing w:after="160" w:line="240" w:lineRule="exact"/>
    </w:pPr>
    <w:rPr>
      <w:rFonts w:ascii="Verdana" w:hAnsi="Verdana" w:eastAsia="宋体"/>
      <w:kern w:val="0"/>
      <w:sz w:val="20"/>
      <w:szCs w:val="20"/>
      <w:lang w:eastAsia="en-US"/>
    </w:rPr>
  </w:style>
  <w:style w:type="paragraph" w:customStyle="1" w:styleId="275">
    <w:name w:val="Char2"/>
    <w:basedOn w:val="1"/>
    <w:qFormat/>
    <w:uiPriority w:val="0"/>
    <w:pPr>
      <w:spacing w:line="240" w:lineRule="atLeast"/>
      <w:ind w:left="420" w:firstLine="420"/>
      <w:jc w:val="both"/>
    </w:pPr>
    <w:rPr>
      <w:rFonts w:ascii="Calibri" w:hAnsi="Calibri" w:eastAsia="宋体"/>
      <w:kern w:val="0"/>
      <w:sz w:val="21"/>
      <w:szCs w:val="20"/>
    </w:rPr>
  </w:style>
  <w:style w:type="paragraph" w:customStyle="1" w:styleId="276">
    <w:name w:val="样式12"/>
    <w:basedOn w:val="1"/>
    <w:qFormat/>
    <w:uiPriority w:val="0"/>
    <w:pPr>
      <w:jc w:val="both"/>
    </w:pPr>
    <w:rPr>
      <w:rFonts w:ascii="Times New Roman" w:hAnsi="Times New Roman" w:eastAsia="仿宋"/>
      <w:szCs w:val="20"/>
    </w:rPr>
  </w:style>
  <w:style w:type="paragraph" w:customStyle="1" w:styleId="277">
    <w:name w:val="样式2"/>
    <w:basedOn w:val="6"/>
    <w:qFormat/>
    <w:uiPriority w:val="0"/>
    <w:pPr>
      <w:keepNext w:val="0"/>
      <w:keepLines w:val="0"/>
      <w:numPr>
        <w:ilvl w:val="0"/>
        <w:numId w:val="13"/>
      </w:numPr>
      <w:spacing w:before="560" w:line="400" w:lineRule="exact"/>
      <w:jc w:val="center"/>
      <w:outlineLvl w:val="0"/>
    </w:pPr>
    <w:rPr>
      <w:rFonts w:ascii="Calibri" w:hAnsi="Calibri" w:eastAsia="宋体" w:cs="Times New Roman"/>
      <w:b w:val="0"/>
      <w:bCs w:val="0"/>
      <w:sz w:val="44"/>
      <w:szCs w:val="20"/>
    </w:rPr>
  </w:style>
  <w:style w:type="paragraph" w:customStyle="1" w:styleId="278">
    <w:name w:val="标题5"/>
    <w:basedOn w:val="1"/>
    <w:qFormat/>
    <w:uiPriority w:val="0"/>
    <w:pPr>
      <w:tabs>
        <w:tab w:val="left" w:pos="0"/>
      </w:tabs>
      <w:autoSpaceDE w:val="0"/>
      <w:autoSpaceDN w:val="0"/>
      <w:adjustRightInd w:val="0"/>
      <w:snapToGrid w:val="0"/>
      <w:spacing w:line="320" w:lineRule="atLeast"/>
      <w:jc w:val="both"/>
    </w:pPr>
    <w:rPr>
      <w:rFonts w:ascii="宋体" w:hAnsi="Calibri" w:eastAsia="宋体"/>
      <w:kern w:val="0"/>
      <w:sz w:val="21"/>
      <w:szCs w:val="20"/>
    </w:rPr>
  </w:style>
  <w:style w:type="paragraph" w:customStyle="1" w:styleId="279">
    <w:name w:val="列出段落1"/>
    <w:qFormat/>
    <w:uiPriority w:val="0"/>
    <w:pPr>
      <w:framePr w:wrap="around" w:vAnchor="margin" w:hAnchor="text" w:y="1"/>
      <w:widowControl w:val="0"/>
      <w:ind w:firstLine="420"/>
      <w:jc w:val="both"/>
    </w:pPr>
    <w:rPr>
      <w:rFonts w:ascii="Calibri" w:hAnsi="Calibri" w:eastAsia="Times New Roman" w:cs="Calibri"/>
      <w:color w:val="000000"/>
      <w:kern w:val="2"/>
      <w:sz w:val="21"/>
      <w:szCs w:val="21"/>
      <w:lang w:val="en-US" w:eastAsia="zh-CN" w:bidi="ar-SA"/>
    </w:rPr>
  </w:style>
  <w:style w:type="paragraph" w:customStyle="1" w:styleId="280">
    <w:name w:val="文章正文"/>
    <w:basedOn w:val="1"/>
    <w:qFormat/>
    <w:uiPriority w:val="0"/>
    <w:pPr>
      <w:ind w:firstLine="560" w:firstLineChars="200"/>
      <w:jc w:val="both"/>
    </w:pPr>
    <w:rPr>
      <w:rFonts w:ascii="仿宋_GB2312" w:hAnsi="宋体" w:eastAsia="仿宋_GB2312"/>
      <w:color w:val="000000"/>
      <w:sz w:val="28"/>
      <w:szCs w:val="20"/>
    </w:rPr>
  </w:style>
  <w:style w:type="paragraph" w:customStyle="1" w:styleId="281">
    <w:name w:val="默认段落字体 Para Char Char Char Char Char Char Char Char Char1 Char Char Char Char"/>
    <w:basedOn w:val="1"/>
    <w:qFormat/>
    <w:uiPriority w:val="0"/>
    <w:pPr>
      <w:jc w:val="both"/>
    </w:pPr>
    <w:rPr>
      <w:rFonts w:ascii="Tahoma" w:hAnsi="Tahoma" w:eastAsia="宋体"/>
      <w:szCs w:val="20"/>
    </w:rPr>
  </w:style>
  <w:style w:type="paragraph" w:customStyle="1" w:styleId="282">
    <w:name w:val="图标"/>
    <w:basedOn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pPr>
    <w:rPr>
      <w:rFonts w:ascii="Calibri" w:hAnsi="Calibri" w:eastAsia="仿宋_GB2312"/>
      <w:kern w:val="0"/>
      <w:szCs w:val="20"/>
    </w:rPr>
  </w:style>
  <w:style w:type="paragraph" w:customStyle="1" w:styleId="283">
    <w:name w:val="Title - Revision"/>
    <w:basedOn w:val="59"/>
    <w:qFormat/>
    <w:uiPriority w:val="0"/>
    <w:pPr>
      <w:spacing w:before="720"/>
    </w:pPr>
  </w:style>
  <w:style w:type="paragraph" w:customStyle="1" w:styleId="284">
    <w:name w:val="样式 仿宋_GB2312 首行缩进:  2 字符"/>
    <w:basedOn w:val="1"/>
    <w:qFormat/>
    <w:uiPriority w:val="0"/>
    <w:pPr>
      <w:spacing w:line="600" w:lineRule="exact"/>
      <w:ind w:firstLine="420" w:firstLineChars="150"/>
    </w:pPr>
    <w:rPr>
      <w:rFonts w:ascii="仿宋_GB2312" w:hAnsi="Arial" w:eastAsia="仿宋_GB2312"/>
      <w:color w:val="000000"/>
      <w:kern w:val="0"/>
      <w:sz w:val="28"/>
      <w:szCs w:val="20"/>
      <w:lang w:val="zh-CN"/>
    </w:rPr>
  </w:style>
  <w:style w:type="paragraph" w:customStyle="1" w:styleId="285">
    <w:name w:val="样式 样式 正文首行缩进 2 + 左  0 字符 + 首行缩进:  2.57 字符"/>
    <w:basedOn w:val="1"/>
    <w:qFormat/>
    <w:uiPriority w:val="0"/>
    <w:pPr>
      <w:adjustRightInd w:val="0"/>
      <w:snapToGrid w:val="0"/>
      <w:spacing w:after="120"/>
      <w:ind w:firstLine="540" w:firstLineChars="257"/>
      <w:jc w:val="both"/>
    </w:pPr>
    <w:rPr>
      <w:rFonts w:ascii="Calibri" w:hAnsi="Calibri" w:eastAsia="宋体"/>
      <w:sz w:val="21"/>
      <w:szCs w:val="20"/>
    </w:rPr>
  </w:style>
  <w:style w:type="paragraph" w:customStyle="1" w:styleId="286">
    <w:name w:val="Note"/>
    <w:basedOn w:val="1"/>
    <w:qFormat/>
    <w:uiPriority w:val="0"/>
    <w:pPr>
      <w:pBdr>
        <w:top w:val="single" w:color="auto" w:sz="12" w:space="3"/>
        <w:bottom w:val="single" w:color="auto" w:sz="12" w:space="3"/>
      </w:pBdr>
      <w:spacing w:line="360" w:lineRule="auto"/>
      <w:jc w:val="both"/>
    </w:pPr>
    <w:rPr>
      <w:rFonts w:ascii="Calibri" w:hAnsi="Calibri" w:eastAsia="宋体"/>
      <w:szCs w:val="20"/>
    </w:rPr>
  </w:style>
  <w:style w:type="paragraph" w:customStyle="1" w:styleId="287">
    <w:name w:val="文档正文 Char Char Char Char Char"/>
    <w:basedOn w:val="1"/>
    <w:qFormat/>
    <w:uiPriority w:val="0"/>
    <w:pPr>
      <w:adjustRightInd w:val="0"/>
      <w:spacing w:line="440" w:lineRule="exact"/>
      <w:ind w:firstLine="420"/>
      <w:jc w:val="both"/>
    </w:pPr>
    <w:rPr>
      <w:rFonts w:ascii="Arial Narrow" w:hAnsi="Arial Narrow" w:eastAsia="宋体"/>
      <w:kern w:val="0"/>
      <w:szCs w:val="20"/>
    </w:rPr>
  </w:style>
  <w:style w:type="paragraph" w:customStyle="1" w:styleId="288">
    <w:name w:val="Char Char1 Char Char Char Char Char Char Char Char Char Char Char Char Char Char"/>
    <w:basedOn w:val="1"/>
    <w:qFormat/>
    <w:uiPriority w:val="0"/>
    <w:pPr>
      <w:widowControl/>
      <w:spacing w:after="160" w:line="240" w:lineRule="exact"/>
    </w:pPr>
    <w:rPr>
      <w:rFonts w:ascii="Verdana" w:hAnsi="Verdana" w:eastAsia="宋体"/>
      <w:kern w:val="0"/>
      <w:sz w:val="20"/>
      <w:szCs w:val="20"/>
      <w:lang w:eastAsia="en-US"/>
    </w:rPr>
  </w:style>
  <w:style w:type="paragraph" w:customStyle="1" w:styleId="289">
    <w:name w:val="样式9"/>
    <w:basedOn w:val="1"/>
    <w:qFormat/>
    <w:uiPriority w:val="0"/>
    <w:pPr>
      <w:jc w:val="both"/>
    </w:pPr>
    <w:rPr>
      <w:rFonts w:ascii="Times New Roman" w:hAnsi="Times New Roman" w:eastAsia="仿宋"/>
      <w:szCs w:val="20"/>
    </w:rPr>
  </w:style>
  <w:style w:type="paragraph" w:customStyle="1" w:styleId="290">
    <w:name w:val="首行缩进 1"/>
    <w:basedOn w:val="1"/>
    <w:qFormat/>
    <w:uiPriority w:val="0"/>
    <w:pPr>
      <w:spacing w:after="120" w:line="360" w:lineRule="auto"/>
      <w:ind w:firstLine="200" w:firstLineChars="200"/>
      <w:jc w:val="both"/>
    </w:pPr>
    <w:rPr>
      <w:rFonts w:ascii="Calibri" w:hAnsi="Calibri" w:eastAsia="宋体"/>
      <w:szCs w:val="20"/>
    </w:rPr>
  </w:style>
  <w:style w:type="paragraph" w:customStyle="1" w:styleId="291">
    <w:name w:val="1.正文"/>
    <w:basedOn w:val="1"/>
    <w:qFormat/>
    <w:uiPriority w:val="0"/>
    <w:pPr>
      <w:spacing w:line="360" w:lineRule="auto"/>
      <w:ind w:left="540" w:leftChars="225" w:firstLine="540" w:firstLineChars="225"/>
      <w:jc w:val="both"/>
    </w:pPr>
    <w:rPr>
      <w:rFonts w:ascii="Calibri" w:hAnsi="Calibri" w:eastAsia="宋体"/>
      <w:szCs w:val="20"/>
    </w:rPr>
  </w:style>
  <w:style w:type="paragraph" w:customStyle="1" w:styleId="292">
    <w:name w:val="Style Heading 3h3Heading 3 - oldLevel 3 HeadH3level_3PIM 3se..."/>
    <w:basedOn w:val="5"/>
    <w:qFormat/>
    <w:uiPriority w:val="0"/>
    <w:pPr>
      <w:tabs>
        <w:tab w:val="left" w:pos="709"/>
        <w:tab w:val="left" w:pos="1620"/>
      </w:tabs>
      <w:spacing w:line="413" w:lineRule="auto"/>
      <w:ind w:left="1620" w:hanging="360"/>
      <w:jc w:val="both"/>
    </w:pPr>
    <w:rPr>
      <w:rFonts w:ascii="Calibri" w:hAnsi="Calibri" w:eastAsia="宋体"/>
      <w:bCs w:val="0"/>
      <w:szCs w:val="20"/>
    </w:rPr>
  </w:style>
  <w:style w:type="paragraph" w:customStyle="1" w:styleId="293">
    <w:name w:val="摘要"/>
    <w:basedOn w:val="1"/>
    <w:qFormat/>
    <w:uiPriority w:val="0"/>
    <w:pPr>
      <w:spacing w:line="360" w:lineRule="auto"/>
      <w:jc w:val="both"/>
    </w:pPr>
    <w:rPr>
      <w:rFonts w:ascii="Calibri" w:hAnsi="Calibri" w:eastAsia="黑体"/>
      <w:sz w:val="20"/>
      <w:szCs w:val="20"/>
    </w:rPr>
  </w:style>
  <w:style w:type="paragraph" w:customStyle="1" w:styleId="294">
    <w:name w:val="Char Char Char"/>
    <w:basedOn w:val="1"/>
    <w:qFormat/>
    <w:uiPriority w:val="0"/>
    <w:pPr>
      <w:jc w:val="both"/>
    </w:pPr>
    <w:rPr>
      <w:rFonts w:ascii="Tahoma" w:hAnsi="Tahoma" w:eastAsia="宋体"/>
      <w:szCs w:val="20"/>
    </w:rPr>
  </w:style>
  <w:style w:type="paragraph" w:styleId="295">
    <w:name w:val="Quote"/>
    <w:basedOn w:val="1"/>
    <w:link w:val="296"/>
    <w:qFormat/>
    <w:uiPriority w:val="29"/>
    <w:pPr>
      <w:jc w:val="both"/>
    </w:pPr>
    <w:rPr>
      <w:rFonts w:ascii="Calibri" w:hAnsi="Calibri" w:eastAsia="宋体"/>
      <w:i/>
      <w:iCs/>
      <w:color w:val="000000"/>
      <w:sz w:val="28"/>
      <w:szCs w:val="20"/>
    </w:rPr>
  </w:style>
  <w:style w:type="character" w:customStyle="1" w:styleId="296">
    <w:name w:val="引用 字符"/>
    <w:basedOn w:val="65"/>
    <w:link w:val="295"/>
    <w:qFormat/>
    <w:uiPriority w:val="29"/>
    <w:rPr>
      <w:rFonts w:ascii="Calibri" w:hAnsi="Calibri" w:eastAsia="宋体" w:cs="Times New Roman"/>
      <w:i/>
      <w:iCs/>
      <w:color w:val="000000"/>
      <w:sz w:val="28"/>
      <w:szCs w:val="20"/>
    </w:rPr>
  </w:style>
  <w:style w:type="paragraph" w:customStyle="1" w:styleId="297">
    <w:name w:val="西研院正文"/>
    <w:basedOn w:val="1"/>
    <w:qFormat/>
    <w:uiPriority w:val="0"/>
    <w:pPr>
      <w:spacing w:line="560" w:lineRule="exact"/>
      <w:ind w:firstLine="643" w:firstLineChars="200"/>
      <w:jc w:val="both"/>
    </w:pPr>
    <w:rPr>
      <w:rFonts w:ascii="Calibri" w:hAnsi="Calibri" w:eastAsia="方正仿宋_GBK"/>
      <w:sz w:val="32"/>
      <w:szCs w:val="20"/>
    </w:rPr>
  </w:style>
  <w:style w:type="character" w:customStyle="1" w:styleId="298">
    <w:name w:val="NormalCharacter"/>
    <w:qFormat/>
    <w:uiPriority w:val="0"/>
  </w:style>
  <w:style w:type="paragraph" w:customStyle="1" w:styleId="299">
    <w:name w:val="默认"/>
    <w:qFormat/>
    <w:uiPriority w:val="0"/>
    <w:rPr>
      <w:rFonts w:ascii="Helvetica" w:hAnsi="Helvetica" w:eastAsia="宋体" w:cs="Helvetica"/>
      <w:color w:val="000000"/>
      <w:sz w:val="22"/>
      <w:szCs w:val="22"/>
      <w:lang w:val="en-US" w:eastAsia="zh-CN" w:bidi="ar-SA"/>
    </w:rPr>
  </w:style>
  <w:style w:type="paragraph" w:customStyle="1" w:styleId="300">
    <w:name w:val="pa-34"/>
    <w:basedOn w:val="1"/>
    <w:qFormat/>
    <w:uiPriority w:val="0"/>
    <w:pPr>
      <w:widowControl/>
      <w:spacing w:line="360" w:lineRule="atLeast"/>
      <w:ind w:firstLine="420"/>
    </w:pPr>
    <w:rPr>
      <w:rFonts w:ascii="宋体" w:hAnsi="宋体" w:eastAsia="宋体" w:cs="宋体"/>
      <w:kern w:val="0"/>
      <w:szCs w:val="20"/>
    </w:rPr>
  </w:style>
  <w:style w:type="paragraph" w:customStyle="1" w:styleId="301">
    <w:name w:val="列出段落11"/>
    <w:basedOn w:val="1"/>
    <w:qFormat/>
    <w:uiPriority w:val="0"/>
    <w:pPr>
      <w:ind w:firstLine="420" w:firstLineChars="200"/>
      <w:jc w:val="both"/>
    </w:pPr>
    <w:rPr>
      <w:rFonts w:ascii="Calibri" w:hAnsi="Calibri" w:eastAsia="宋体"/>
      <w:sz w:val="28"/>
      <w:szCs w:val="28"/>
    </w:rPr>
  </w:style>
  <w:style w:type="character" w:customStyle="1" w:styleId="302">
    <w:name w:val="ca-141"/>
    <w:qFormat/>
    <w:uiPriority w:val="0"/>
    <w:rPr>
      <w:rFonts w:hint="eastAsia" w:ascii="仿宋_GB2312" w:hAnsi="Times New Roman" w:eastAsia="仿宋_GB2312" w:cs="Times New Roman"/>
      <w:sz w:val="21"/>
      <w:szCs w:val="21"/>
    </w:rPr>
  </w:style>
  <w:style w:type="paragraph" w:customStyle="1" w:styleId="303">
    <w:name w:val="修订2"/>
    <w:semiHidden/>
    <w:qFormat/>
    <w:uiPriority w:val="99"/>
    <w:rPr>
      <w:rFonts w:ascii="宋体" w:hAnsi="宋体" w:eastAsia="宋体" w:cs="Times New Roman"/>
      <w:kern w:val="2"/>
      <w:sz w:val="24"/>
      <w:szCs w:val="24"/>
      <w:lang w:val="en-US" w:eastAsia="zh-CN" w:bidi="ar-SA"/>
    </w:rPr>
  </w:style>
  <w:style w:type="paragraph" w:customStyle="1" w:styleId="304">
    <w:name w:val="TOC 标题1"/>
    <w:basedOn w:val="3"/>
    <w:next w:val="1"/>
    <w:unhideWhenUsed/>
    <w:qFormat/>
    <w:uiPriority w:val="39"/>
    <w:pPr>
      <w:keepLines/>
      <w:widowControl/>
      <w:snapToGrid/>
      <w:spacing w:before="480" w:line="276" w:lineRule="auto"/>
      <w:jc w:val="left"/>
      <w:outlineLvl w:val="9"/>
    </w:pPr>
    <w:rPr>
      <w:rFonts w:ascii="Cambria" w:hAnsi="Cambria" w:cs="Times New Roman"/>
      <w:bCs/>
      <w:color w:val="366091"/>
      <w:kern w:val="0"/>
      <w:sz w:val="28"/>
      <w:szCs w:val="28"/>
    </w:rPr>
  </w:style>
  <w:style w:type="paragraph" w:customStyle="1" w:styleId="305">
    <w:name w:val="目录 91"/>
    <w:next w:val="1"/>
    <w:qFormat/>
    <w:uiPriority w:val="0"/>
    <w:pPr>
      <w:wordWrap w:val="0"/>
      <w:ind w:left="3400"/>
      <w:jc w:val="both"/>
    </w:pPr>
    <w:rPr>
      <w:rFonts w:ascii="宋体" w:hAnsi="宋体" w:eastAsia="Times New Roman" w:cs="Times New Roman"/>
      <w:sz w:val="21"/>
      <w:lang w:val="en-US" w:eastAsia="zh-CN" w:bidi="ar-SA"/>
    </w:rPr>
  </w:style>
  <w:style w:type="paragraph" w:customStyle="1" w:styleId="306">
    <w:name w:val="UserStyle_0"/>
    <w:basedOn w:val="1"/>
    <w:next w:val="1"/>
    <w:qFormat/>
    <w:uiPriority w:val="0"/>
    <w:pPr>
      <w:ind w:left="1680"/>
    </w:pPr>
  </w:style>
  <w:style w:type="paragraph" w:customStyle="1" w:styleId="307">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308">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309">
    <w:name w:val="授权书和信息卡行距"/>
    <w:semiHidden/>
    <w:qFormat/>
    <w:uiPriority w:val="0"/>
    <w:pPr>
      <w:spacing w:line="560" w:lineRule="exact"/>
      <w:ind w:left="200" w:hanging="200" w:hangingChars="200"/>
    </w:pPr>
    <w:rPr>
      <w:rFonts w:ascii="Times New Roman" w:hAnsi="Times New Roman" w:eastAsia="仿宋_GB2312" w:cs="Times New Roman"/>
      <w:kern w:val="2"/>
      <w:sz w:val="24"/>
      <w:szCs w:val="24"/>
      <w:lang w:val="en-US" w:eastAsia="zh-CN" w:bidi="ar-SA"/>
    </w:rPr>
  </w:style>
  <w:style w:type="table" w:customStyle="1" w:styleId="310">
    <w:name w:val="Table Normal"/>
    <w:unhideWhenUsed/>
    <w:qFormat/>
    <w:uiPriority w:val="0"/>
    <w:tblPr>
      <w:tblCellMar>
        <w:top w:w="0" w:type="dxa"/>
        <w:left w:w="0" w:type="dxa"/>
        <w:bottom w:w="0" w:type="dxa"/>
        <w:right w:w="0" w:type="dxa"/>
      </w:tblCellMar>
    </w:tblPr>
  </w:style>
  <w:style w:type="paragraph" w:customStyle="1" w:styleId="311">
    <w:name w:val="_正文段落"/>
    <w:basedOn w:val="1"/>
    <w:qFormat/>
    <w:uiPriority w:val="0"/>
    <w:pPr>
      <w:spacing w:line="360" w:lineRule="auto"/>
    </w:pPr>
    <w:rPr>
      <w:rFonts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10034</Words>
  <Characters>10315</Characters>
  <Lines>495</Lines>
  <Paragraphs>433</Paragraphs>
  <TotalTime>0</TotalTime>
  <ScaleCrop>false</ScaleCrop>
  <LinksUpToDate>false</LinksUpToDate>
  <CharactersWithSpaces>11016</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2025-05-05T18:53:00Z</dcterms:created>
  <dc:creator>乔</dc:creator>
  <cp:lastModifiedBy>姚韵丰</cp:lastModifiedBy>
  <cp:lastPrinted>2025-08-26T07:22:00Z</cp:lastPrinted>
  <dcterms:modified xsi:type="dcterms:W3CDTF">2025-08-26T08:36:56Z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9F8DC0ED3EB5E516ED3E9C68B469F8E7_43</vt:lpwstr>
  </property>
  <property fmtid="{D5CDD505-2E9C-101B-9397-08002B2CF9AE}" pid="4" name="KSOTemplateDocerSaveRecord">
    <vt:lpwstr>eyJoZGlkIjoiZmIxN2ZiNGFjMmYwYmQ3MmJjZjkwODcxMGY1MGU1MjAiLCJ1c2VySWQiOiIxMDEyMDI5Njg0In0=</vt:lpwstr>
  </property>
</Properties>
</file>